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43AE7">
      <w:pPr>
        <w:pStyle w:val="6"/>
        <w:rPr>
          <w:sz w:val="20"/>
        </w:rPr>
      </w:pPr>
    </w:p>
    <w:p w14:paraId="53D0DF4F">
      <w:pPr>
        <w:pStyle w:val="6"/>
        <w:rPr>
          <w:sz w:val="20"/>
        </w:rPr>
      </w:pPr>
    </w:p>
    <w:p w14:paraId="33163C95">
      <w:pPr>
        <w:pStyle w:val="6"/>
        <w:rPr>
          <w:sz w:val="20"/>
        </w:rPr>
      </w:pPr>
    </w:p>
    <w:p w14:paraId="618E66EC">
      <w:pPr>
        <w:pStyle w:val="6"/>
        <w:rPr>
          <w:sz w:val="20"/>
        </w:rPr>
      </w:pPr>
    </w:p>
    <w:p w14:paraId="205AA51A">
      <w:pPr>
        <w:pStyle w:val="6"/>
        <w:rPr>
          <w:sz w:val="20"/>
        </w:rPr>
      </w:pPr>
    </w:p>
    <w:p w14:paraId="52D9D93A">
      <w:pPr>
        <w:pStyle w:val="6"/>
        <w:spacing w:before="44" w:after="1"/>
        <w:rPr>
          <w:rFonts w:hint="default"/>
          <w:sz w:val="20"/>
          <w:lang w:val="en-US"/>
        </w:rPr>
      </w:pPr>
      <w:r>
        <w:rPr>
          <w:sz w:val="20"/>
        </w:rPr>
        <w:drawing>
          <wp:inline distT="0" distB="0" distL="0" distR="0">
            <wp:extent cx="3158490" cy="1701800"/>
            <wp:effectExtent l="0" t="0" r="11430" b="508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158490" cy="1701800"/>
                    </a:xfrm>
                    <a:prstGeom prst="rect">
                      <a:avLst/>
                    </a:prstGeom>
                  </pic:spPr>
                </pic:pic>
              </a:graphicData>
            </a:graphic>
          </wp:inline>
        </w:drawing>
      </w:r>
      <w:r>
        <w:drawing>
          <wp:inline distT="0" distB="0" distL="114300" distR="114300">
            <wp:extent cx="3162935" cy="1653540"/>
            <wp:effectExtent l="0" t="0" r="6985" b="762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9"/>
                    <a:stretch>
                      <a:fillRect/>
                    </a:stretch>
                  </pic:blipFill>
                  <pic:spPr>
                    <a:xfrm>
                      <a:off x="0" y="0"/>
                      <a:ext cx="3162935" cy="1653540"/>
                    </a:xfrm>
                    <a:prstGeom prst="rect">
                      <a:avLst/>
                    </a:prstGeom>
                    <a:noFill/>
                    <a:ln>
                      <a:noFill/>
                    </a:ln>
                  </pic:spPr>
                </pic:pic>
              </a:graphicData>
            </a:graphic>
          </wp:inline>
        </w:drawing>
      </w:r>
    </w:p>
    <w:p w14:paraId="4EC0EBCE">
      <w:pPr>
        <w:spacing w:line="240" w:lineRule="auto"/>
        <w:ind w:left="2757" w:right="0" w:firstLine="0"/>
        <w:jc w:val="left"/>
        <w:rPr>
          <w:sz w:val="20"/>
        </w:rPr>
      </w:pPr>
    </w:p>
    <w:p w14:paraId="76434E15">
      <w:pPr>
        <w:pStyle w:val="6"/>
        <w:rPr>
          <w:sz w:val="28"/>
        </w:rPr>
      </w:pPr>
    </w:p>
    <w:p w14:paraId="42C96A21">
      <w:pPr>
        <w:pStyle w:val="6"/>
        <w:rPr>
          <w:rFonts w:hint="default"/>
          <w:sz w:val="28"/>
          <w:lang w:val="en-US"/>
        </w:rPr>
      </w:pPr>
    </w:p>
    <w:p w14:paraId="19146604">
      <w:pPr>
        <w:pStyle w:val="6"/>
        <w:rPr>
          <w:rFonts w:hint="default"/>
          <w:sz w:val="28"/>
          <w:lang w:val="en-US"/>
        </w:rPr>
      </w:pPr>
    </w:p>
    <w:p w14:paraId="35827EEB">
      <w:pPr>
        <w:pStyle w:val="6"/>
        <w:spacing w:before="92"/>
        <w:rPr>
          <w:sz w:val="28"/>
        </w:rPr>
      </w:pPr>
    </w:p>
    <w:p w14:paraId="6ADF1044">
      <w:pPr>
        <w:pStyle w:val="2"/>
        <w:ind w:left="1172" w:right="1172" w:firstLine="0"/>
        <w:rPr>
          <w:sz w:val="40"/>
          <w:szCs w:val="40"/>
          <w:u w:val="none"/>
        </w:rPr>
      </w:pPr>
      <w:r>
        <w:rPr>
          <w:sz w:val="40"/>
          <w:szCs w:val="40"/>
          <w:u w:val="none"/>
        </w:rPr>
        <w:t>Strategic</w:t>
      </w:r>
      <w:r>
        <w:rPr>
          <w:spacing w:val="-7"/>
          <w:sz w:val="40"/>
          <w:szCs w:val="40"/>
          <w:u w:val="none"/>
        </w:rPr>
        <w:t xml:space="preserve"> </w:t>
      </w:r>
      <w:r>
        <w:rPr>
          <w:sz w:val="40"/>
          <w:szCs w:val="40"/>
          <w:u w:val="none"/>
        </w:rPr>
        <w:t>Policy</w:t>
      </w:r>
      <w:r>
        <w:rPr>
          <w:spacing w:val="-5"/>
          <w:sz w:val="40"/>
          <w:szCs w:val="40"/>
          <w:u w:val="none"/>
        </w:rPr>
        <w:t xml:space="preserve"> </w:t>
      </w:r>
      <w:r>
        <w:rPr>
          <w:spacing w:val="-2"/>
          <w:sz w:val="40"/>
          <w:szCs w:val="40"/>
          <w:u w:val="none"/>
        </w:rPr>
        <w:t>Paper</w:t>
      </w:r>
    </w:p>
    <w:p w14:paraId="78B1526A">
      <w:pPr>
        <w:pStyle w:val="6"/>
        <w:spacing w:before="108"/>
        <w:rPr>
          <w:b/>
          <w:sz w:val="20"/>
        </w:rPr>
      </w:pPr>
      <w:r>
        <w:rPr>
          <w:b/>
          <w:sz w:val="20"/>
        </w:rPr>
        <mc:AlternateContent>
          <mc:Choice Requires="wps">
            <w:drawing>
              <wp:anchor distT="0" distB="0" distL="0" distR="0" simplePos="0" relativeHeight="251661312" behindDoc="1" locked="0" layoutInCell="1" allowOverlap="1">
                <wp:simplePos x="0" y="0"/>
                <wp:positionH relativeFrom="page">
                  <wp:posOffset>1216025</wp:posOffset>
                </wp:positionH>
                <wp:positionV relativeFrom="paragraph">
                  <wp:posOffset>229870</wp:posOffset>
                </wp:positionV>
                <wp:extent cx="5340985" cy="6350"/>
                <wp:effectExtent l="0" t="0" r="0" b="0"/>
                <wp:wrapTopAndBottom/>
                <wp:docPr id="2" name="Graphic 2"/>
                <wp:cNvGraphicFramePr/>
                <a:graphic xmlns:a="http://schemas.openxmlformats.org/drawingml/2006/main">
                  <a:graphicData uri="http://schemas.microsoft.com/office/word/2010/wordprocessingShape">
                    <wps:wsp>
                      <wps:cNvSpPr/>
                      <wps:spPr>
                        <a:xfrm>
                          <a:off x="0" y="0"/>
                          <a:ext cx="5340985" cy="6350"/>
                        </a:xfrm>
                        <a:custGeom>
                          <a:avLst/>
                          <a:gdLst/>
                          <a:ahLst/>
                          <a:cxnLst/>
                          <a:rect l="l" t="t" r="r" b="b"/>
                          <a:pathLst>
                            <a:path w="5340985" h="6350">
                              <a:moveTo>
                                <a:pt x="5340985" y="0"/>
                              </a:moveTo>
                              <a:lnTo>
                                <a:pt x="0" y="0"/>
                              </a:lnTo>
                              <a:lnTo>
                                <a:pt x="0" y="6096"/>
                              </a:lnTo>
                              <a:lnTo>
                                <a:pt x="5340985" y="6096"/>
                              </a:lnTo>
                              <a:lnTo>
                                <a:pt x="5340985" y="0"/>
                              </a:lnTo>
                              <a:close/>
                            </a:path>
                          </a:pathLst>
                        </a:custGeom>
                        <a:solidFill>
                          <a:srgbClr val="4F81BC"/>
                        </a:solidFill>
                      </wps:spPr>
                      <wps:bodyPr wrap="square" lIns="0" tIns="0" rIns="0" bIns="0" rtlCol="0">
                        <a:noAutofit/>
                      </wps:bodyPr>
                    </wps:wsp>
                  </a:graphicData>
                </a:graphic>
              </wp:anchor>
            </w:drawing>
          </mc:Choice>
          <mc:Fallback>
            <w:pict>
              <v:shape id="Graphic 2" o:spid="_x0000_s1026" o:spt="100" style="position:absolute;left:0pt;margin-left:95.75pt;margin-top:18.1pt;height:0.5pt;width:420.55pt;mso-position-horizontal-relative:page;mso-wrap-distance-bottom:0pt;mso-wrap-distance-top:0pt;z-index:-251655168;mso-width-relative:page;mso-height-relative:page;" fillcolor="#4F81BC" filled="t" stroked="f" coordsize="5340985,6350" o:gfxdata="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YzL&#10;etkAAAAKAQAADwAAAAAAAAABACAAAAAiAAAAZHJzL2Rvd25yZXYueG1sUEsBAhQAFAAAAAgAh07i&#10;QLg6eIohAgAA3AQAAA4AAAAAAAAAAQAgAAAAKAEAAGRycy9lMm9Eb2MueG1sUEsFBgAAAAAGAAYA&#10;WQEAALsFAAAAAA==&#10;" path="m5340985,0l0,0,0,6096,5340985,6096,5340985,0xe">
                <v:fill on="t" focussize="0,0"/>
                <v:stroke on="f"/>
                <v:imagedata o:title=""/>
                <o:lock v:ext="edit" aspectratio="f"/>
                <v:textbox inset="0mm,0mm,0mm,0mm"/>
                <w10:wrap type="topAndBottom"/>
              </v:shape>
            </w:pict>
          </mc:Fallback>
        </mc:AlternateContent>
      </w:r>
    </w:p>
    <w:p w14:paraId="6D3F74B5">
      <w:pPr>
        <w:pStyle w:val="3"/>
        <w:spacing w:before="198" w:line="256" w:lineRule="auto"/>
        <w:ind w:left="1172" w:right="1167"/>
        <w:jc w:val="center"/>
        <w:rPr>
          <w:sz w:val="28"/>
          <w:szCs w:val="28"/>
        </w:rPr>
      </w:pPr>
      <w:r>
        <w:rPr>
          <w:sz w:val="28"/>
          <w:szCs w:val="28"/>
        </w:rPr>
        <w:t>Escalating</w:t>
      </w:r>
      <w:r>
        <w:rPr>
          <w:spacing w:val="-4"/>
          <w:sz w:val="28"/>
          <w:szCs w:val="28"/>
        </w:rPr>
        <w:t xml:space="preserve"> </w:t>
      </w:r>
      <w:r>
        <w:rPr>
          <w:sz w:val="28"/>
          <w:szCs w:val="28"/>
        </w:rPr>
        <w:t>Community</w:t>
      </w:r>
      <w:r>
        <w:rPr>
          <w:spacing w:val="-4"/>
          <w:sz w:val="28"/>
          <w:szCs w:val="28"/>
        </w:rPr>
        <w:t xml:space="preserve"> </w:t>
      </w:r>
      <w:r>
        <w:rPr>
          <w:sz w:val="28"/>
          <w:szCs w:val="28"/>
        </w:rPr>
        <w:t>Mobilization,</w:t>
      </w:r>
      <w:r>
        <w:rPr>
          <w:spacing w:val="-4"/>
          <w:sz w:val="28"/>
          <w:szCs w:val="28"/>
        </w:rPr>
        <w:t xml:space="preserve"> </w:t>
      </w:r>
      <w:r>
        <w:rPr>
          <w:sz w:val="28"/>
          <w:szCs w:val="28"/>
        </w:rPr>
        <w:t>Politicization,</w:t>
      </w:r>
      <w:r>
        <w:rPr>
          <w:spacing w:val="-4"/>
          <w:sz w:val="28"/>
          <w:szCs w:val="28"/>
        </w:rPr>
        <w:t xml:space="preserve"> </w:t>
      </w:r>
      <w:r>
        <w:rPr>
          <w:sz w:val="28"/>
          <w:szCs w:val="28"/>
        </w:rPr>
        <w:t>and</w:t>
      </w:r>
      <w:r>
        <w:rPr>
          <w:spacing w:val="-4"/>
          <w:sz w:val="28"/>
          <w:szCs w:val="28"/>
        </w:rPr>
        <w:t xml:space="preserve"> </w:t>
      </w:r>
      <w:r>
        <w:rPr>
          <w:sz w:val="28"/>
          <w:szCs w:val="28"/>
        </w:rPr>
        <w:t>Conflict</w:t>
      </w:r>
      <w:r>
        <w:rPr>
          <w:spacing w:val="-6"/>
          <w:sz w:val="28"/>
          <w:szCs w:val="28"/>
        </w:rPr>
        <w:t xml:space="preserve"> </w:t>
      </w:r>
      <w:r>
        <w:rPr>
          <w:sz w:val="28"/>
          <w:szCs w:val="28"/>
        </w:rPr>
        <w:t>Risks</w:t>
      </w:r>
      <w:r>
        <w:rPr>
          <w:spacing w:val="-5"/>
          <w:sz w:val="28"/>
          <w:szCs w:val="28"/>
        </w:rPr>
        <w:t xml:space="preserve"> </w:t>
      </w:r>
      <w:r>
        <w:rPr>
          <w:sz w:val="28"/>
          <w:szCs w:val="28"/>
        </w:rPr>
        <w:t>in</w:t>
      </w:r>
      <w:r>
        <w:rPr>
          <w:spacing w:val="-3"/>
          <w:sz w:val="28"/>
          <w:szCs w:val="28"/>
        </w:rPr>
        <w:t xml:space="preserve"> </w:t>
      </w:r>
      <w:r>
        <w:rPr>
          <w:sz w:val="28"/>
          <w:szCs w:val="28"/>
        </w:rPr>
        <w:t>Al-Gezira State, Central Sudan</w:t>
      </w:r>
    </w:p>
    <w:p w14:paraId="659EA267">
      <w:pPr>
        <w:pStyle w:val="6"/>
        <w:spacing w:before="3"/>
        <w:rPr>
          <w:b/>
          <w:sz w:val="15"/>
        </w:rPr>
      </w:pPr>
      <w:r>
        <w:rPr>
          <w:b/>
          <w:sz w:val="15"/>
        </w:rPr>
        <mc:AlternateContent>
          <mc:Choice Requires="wps">
            <w:drawing>
              <wp:anchor distT="0" distB="0" distL="0" distR="0" simplePos="0" relativeHeight="251661312" behindDoc="1" locked="0" layoutInCell="1" allowOverlap="1">
                <wp:simplePos x="0" y="0"/>
                <wp:positionH relativeFrom="page">
                  <wp:posOffset>1216025</wp:posOffset>
                </wp:positionH>
                <wp:positionV relativeFrom="paragraph">
                  <wp:posOffset>127000</wp:posOffset>
                </wp:positionV>
                <wp:extent cx="5340985" cy="6350"/>
                <wp:effectExtent l="0" t="0" r="0" b="0"/>
                <wp:wrapTopAndBottom/>
                <wp:docPr id="3" name="Graphic 3"/>
                <wp:cNvGraphicFramePr/>
                <a:graphic xmlns:a="http://schemas.openxmlformats.org/drawingml/2006/main">
                  <a:graphicData uri="http://schemas.microsoft.com/office/word/2010/wordprocessingShape">
                    <wps:wsp>
                      <wps:cNvSpPr/>
                      <wps:spPr>
                        <a:xfrm>
                          <a:off x="0" y="0"/>
                          <a:ext cx="5340985" cy="6350"/>
                        </a:xfrm>
                        <a:custGeom>
                          <a:avLst/>
                          <a:gdLst/>
                          <a:ahLst/>
                          <a:cxnLst/>
                          <a:rect l="l" t="t" r="r" b="b"/>
                          <a:pathLst>
                            <a:path w="5340985" h="6350">
                              <a:moveTo>
                                <a:pt x="5340985" y="0"/>
                              </a:moveTo>
                              <a:lnTo>
                                <a:pt x="0" y="0"/>
                              </a:lnTo>
                              <a:lnTo>
                                <a:pt x="0" y="6096"/>
                              </a:lnTo>
                              <a:lnTo>
                                <a:pt x="5340985" y="6096"/>
                              </a:lnTo>
                              <a:lnTo>
                                <a:pt x="5340985" y="0"/>
                              </a:lnTo>
                              <a:close/>
                            </a:path>
                          </a:pathLst>
                        </a:custGeom>
                        <a:solidFill>
                          <a:srgbClr val="4F81BC"/>
                        </a:solidFill>
                      </wps:spPr>
                      <wps:bodyPr wrap="square" lIns="0" tIns="0" rIns="0" bIns="0" rtlCol="0">
                        <a:noAutofit/>
                      </wps:bodyPr>
                    </wps:wsp>
                  </a:graphicData>
                </a:graphic>
              </wp:anchor>
            </w:drawing>
          </mc:Choice>
          <mc:Fallback>
            <w:pict>
              <v:shape id="Graphic 3" o:spid="_x0000_s1026" o:spt="100" style="position:absolute;left:0pt;margin-left:95.75pt;margin-top:10pt;height:0.5pt;width:420.55pt;mso-position-horizontal-relative:page;mso-wrap-distance-bottom:0pt;mso-wrap-distance-top:0pt;z-index:-251655168;mso-width-relative:page;mso-height-relative:page;" fillcolor="#4F81BC" filled="t" stroked="f" coordsize="5340985,6350" o:gfxdata="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O3ThrX&#10;AAAACgEAAA8AAAAAAAAAAQAgAAAAIgAAAGRycy9kb3ducmV2LnhtbFBLAQIUABQAAAAIAIdO4kD4&#10;lHtxIQIAANwEAAAOAAAAAAAAAAEAIAAAACYBAABkcnMvZTJvRG9jLnhtbFBLBQYAAAAABgAGAFkB&#10;AAC5BQAAAAA=&#10;" path="m5340985,0l0,0,0,6096,5340985,6096,5340985,0xe">
                <v:fill on="t" focussize="0,0"/>
                <v:stroke on="f"/>
                <v:imagedata o:title=""/>
                <o:lock v:ext="edit" aspectratio="f"/>
                <v:textbox inset="0mm,0mm,0mm,0mm"/>
                <w10:wrap type="topAndBottom"/>
              </v:shape>
            </w:pict>
          </mc:Fallback>
        </mc:AlternateContent>
      </w:r>
    </w:p>
    <w:p w14:paraId="4AB10078">
      <w:pPr>
        <w:pStyle w:val="6"/>
        <w:rPr>
          <w:rFonts w:hint="default"/>
          <w:b/>
          <w:sz w:val="32"/>
          <w:lang w:val="en-US"/>
        </w:rPr>
      </w:pPr>
    </w:p>
    <w:p w14:paraId="6A668400">
      <w:pPr>
        <w:pStyle w:val="6"/>
        <w:ind w:left="3678" w:leftChars="435" w:hanging="2721" w:hangingChars="850"/>
        <w:rPr>
          <w:rFonts w:hint="default"/>
          <w:b/>
          <w:bCs w:val="0"/>
          <w:sz w:val="32"/>
          <w:lang w:val="en-US"/>
        </w:rPr>
      </w:pPr>
      <w:r>
        <w:rPr>
          <w:rFonts w:hint="default"/>
          <w:b/>
          <w:bCs w:val="0"/>
          <w:sz w:val="32"/>
          <w:lang w:val="en-US"/>
        </w:rPr>
        <w:t xml:space="preserve">Collaborative Policy Brief Between Sudan Scope Media and Research  </w:t>
      </w:r>
    </w:p>
    <w:p w14:paraId="3294F5AC">
      <w:pPr>
        <w:pStyle w:val="6"/>
        <w:ind w:left="4791" w:leftChars="1450" w:hanging="1601" w:hangingChars="500"/>
        <w:rPr>
          <w:rFonts w:hint="default"/>
          <w:b/>
          <w:bCs w:val="0"/>
          <w:sz w:val="32"/>
          <w:lang w:val="en-US"/>
        </w:rPr>
      </w:pPr>
      <w:r>
        <w:rPr>
          <w:rFonts w:hint="default"/>
          <w:b/>
          <w:bCs w:val="0"/>
          <w:sz w:val="32"/>
          <w:lang w:val="en-US"/>
        </w:rPr>
        <w:t>And Agora Democracy House</w:t>
      </w:r>
    </w:p>
    <w:p w14:paraId="00962451">
      <w:pPr>
        <w:pStyle w:val="6"/>
        <w:rPr>
          <w:rFonts w:hint="default"/>
          <w:b/>
          <w:bCs w:val="0"/>
          <w:sz w:val="32"/>
          <w:lang w:val="en-US"/>
        </w:rPr>
      </w:pPr>
      <w:r>
        <w:rPr>
          <w:rFonts w:hint="default"/>
          <w:b/>
          <w:bCs w:val="0"/>
          <w:sz w:val="32"/>
          <w:lang w:val="en-US"/>
        </w:rPr>
        <w:t xml:space="preserve">     Research Supervisor: Dr. ELNAZEER MOHAMED SHAAELDIN</w:t>
      </w:r>
      <w:bookmarkStart w:id="0" w:name="_GoBack"/>
      <w:bookmarkEnd w:id="0"/>
    </w:p>
    <w:p w14:paraId="7DDB467F">
      <w:pPr>
        <w:pStyle w:val="8"/>
        <w:spacing w:line="480" w:lineRule="auto"/>
        <w:ind w:left="0" w:leftChars="0" w:firstLine="0" w:firstLineChars="0"/>
        <w:rPr>
          <w:rFonts w:hint="default"/>
          <w:b/>
          <w:color w:val="0000FF"/>
          <w:sz w:val="32"/>
          <w:szCs w:val="24"/>
          <w:lang w:val="en-US"/>
        </w:rPr>
      </w:pPr>
    </w:p>
    <w:p w14:paraId="4AC51CC7">
      <w:pPr>
        <w:pStyle w:val="8"/>
        <w:spacing w:line="480" w:lineRule="auto"/>
        <w:sectPr>
          <w:type w:val="continuous"/>
          <w:pgSz w:w="12240" w:h="15840"/>
          <w:pgMar w:top="1820" w:right="720" w:bottom="280" w:left="720" w:header="720" w:footer="720" w:gutter="0"/>
          <w:cols w:space="720" w:num="1"/>
        </w:sectPr>
      </w:pPr>
      <w:r>
        <w:rPr>
          <w:color w:val="1F497D" w:themeColor="text2"/>
          <w:sz w:val="32"/>
          <w:szCs w:val="32"/>
          <w14:textFill>
            <w14:solidFill>
              <w14:schemeClr w14:val="tx2"/>
            </w14:solidFill>
          </w14:textFill>
        </w:rPr>
        <w:t xml:space="preserve"> </w:t>
      </w:r>
      <w:r>
        <w:rPr>
          <w:rFonts w:hint="default"/>
          <w:color w:val="1F497D" w:themeColor="text2"/>
          <w:sz w:val="32"/>
          <w:szCs w:val="32"/>
          <w:lang w:val="en-US"/>
          <w14:textFill>
            <w14:solidFill>
              <w14:schemeClr w14:val="tx2"/>
            </w14:solidFill>
          </w14:textFill>
        </w:rPr>
        <w:t xml:space="preserve">              </w:t>
      </w:r>
      <w:r>
        <w:rPr>
          <w:rFonts w:hint="default"/>
          <w:lang w:val="en-US"/>
        </w:rPr>
        <w:t>August 27, 2026</w:t>
      </w:r>
    </w:p>
    <w:p w14:paraId="69182037">
      <w:pPr>
        <w:pStyle w:val="6"/>
        <w:rPr>
          <w:b/>
        </w:rPr>
      </w:pPr>
    </w:p>
    <w:p w14:paraId="0EB88311">
      <w:pPr>
        <w:pStyle w:val="3"/>
        <w:spacing w:before="1"/>
        <w:jc w:val="center"/>
        <w:rPr>
          <w:rFonts w:hint="default"/>
          <w:u w:val="single"/>
          <w:lang w:val="en-US"/>
        </w:rPr>
      </w:pPr>
    </w:p>
    <w:p w14:paraId="79AAAC84">
      <w:pPr>
        <w:pStyle w:val="3"/>
        <w:spacing w:before="1"/>
        <w:jc w:val="center"/>
        <w:rPr>
          <w:rFonts w:hint="default"/>
          <w:u w:val="single"/>
          <w:lang w:val="en-US"/>
        </w:rPr>
      </w:pPr>
      <w:r>
        <w:rPr>
          <w:rFonts w:hint="default"/>
          <w:u w:val="single"/>
          <w:lang w:val="en-US"/>
        </w:rPr>
        <w:t>Table of Contents</w:t>
      </w:r>
    </w:p>
    <w:p w14:paraId="1ED52CCF">
      <w:pPr>
        <w:pStyle w:val="3"/>
        <w:numPr>
          <w:ilvl w:val="0"/>
          <w:numId w:val="0"/>
        </w:numPr>
        <w:spacing w:before="1"/>
        <w:ind w:right="0" w:rightChars="0"/>
        <w:jc w:val="left"/>
        <w:rPr>
          <w:rFonts w:hint="default"/>
          <w:b w:val="0"/>
          <w:bCs w:val="0"/>
          <w:u w:val="none"/>
          <w:lang w:val="en-US"/>
        </w:rPr>
      </w:pPr>
    </w:p>
    <w:p w14:paraId="08CE9641">
      <w:pPr>
        <w:pStyle w:val="3"/>
        <w:numPr>
          <w:ilvl w:val="0"/>
          <w:numId w:val="0"/>
        </w:numPr>
        <w:spacing w:before="1"/>
        <w:ind w:right="0" w:rightChars="0"/>
        <w:jc w:val="left"/>
        <w:rPr>
          <w:rFonts w:hint="default"/>
          <w:b w:val="0"/>
          <w:bCs w:val="0"/>
          <w:u w:val="none"/>
          <w:lang w:val="en-US"/>
        </w:rPr>
      </w:pPr>
    </w:p>
    <w:p w14:paraId="25E25547">
      <w:pPr>
        <w:pStyle w:val="3"/>
        <w:numPr>
          <w:ilvl w:val="0"/>
          <w:numId w:val="0"/>
        </w:numPr>
        <w:spacing w:before="1"/>
        <w:ind w:right="0" w:rightChars="0"/>
        <w:jc w:val="left"/>
        <w:rPr>
          <w:rFonts w:hint="default"/>
          <w:b w:val="0"/>
          <w:bCs w:val="0"/>
          <w:u w:val="none"/>
          <w:lang w:val="en-US"/>
        </w:rPr>
      </w:pPr>
    </w:p>
    <w:p w14:paraId="38185ED8">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 xml:space="preserve"> Executive Summary ………………………………………………………………………………….3</w:t>
      </w:r>
    </w:p>
    <w:p w14:paraId="1305EDD4">
      <w:pPr>
        <w:pStyle w:val="3"/>
        <w:numPr>
          <w:ilvl w:val="0"/>
          <w:numId w:val="0"/>
        </w:numPr>
        <w:spacing w:before="1"/>
        <w:ind w:right="0" w:rightChars="0"/>
        <w:jc w:val="left"/>
        <w:rPr>
          <w:rFonts w:hint="default"/>
          <w:b w:val="0"/>
          <w:bCs w:val="0"/>
          <w:u w:val="none"/>
          <w:lang w:val="en-US"/>
        </w:rPr>
      </w:pPr>
    </w:p>
    <w:p w14:paraId="55AC83D5">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Strategic Recommendations …………………………………………………………………………..4</w:t>
      </w:r>
    </w:p>
    <w:p w14:paraId="7A103F5D">
      <w:pPr>
        <w:pStyle w:val="3"/>
        <w:numPr>
          <w:ilvl w:val="0"/>
          <w:numId w:val="0"/>
        </w:numPr>
        <w:spacing w:before="1"/>
        <w:ind w:right="0" w:rightChars="0"/>
        <w:jc w:val="left"/>
        <w:rPr>
          <w:rFonts w:hint="default"/>
          <w:b w:val="0"/>
          <w:bCs w:val="0"/>
          <w:u w:val="none"/>
          <w:lang w:val="en-US"/>
        </w:rPr>
      </w:pPr>
    </w:p>
    <w:p w14:paraId="52291A3D">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Micro-Political Dynamics ……………………………………………………………………………..5</w:t>
      </w:r>
    </w:p>
    <w:p w14:paraId="002CB47D">
      <w:pPr>
        <w:pStyle w:val="3"/>
        <w:numPr>
          <w:ilvl w:val="0"/>
          <w:numId w:val="0"/>
        </w:numPr>
        <w:spacing w:before="1"/>
        <w:ind w:right="0" w:rightChars="0"/>
        <w:jc w:val="left"/>
        <w:rPr>
          <w:rFonts w:hint="default"/>
          <w:b w:val="0"/>
          <w:bCs w:val="0"/>
          <w:u w:val="none"/>
          <w:lang w:val="en-US"/>
        </w:rPr>
      </w:pPr>
    </w:p>
    <w:p w14:paraId="05CAF34C">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Economic Collapse and the Roots of Factionalization………………………………………………...6</w:t>
      </w:r>
    </w:p>
    <w:p w14:paraId="1FC45F5A">
      <w:pPr>
        <w:pStyle w:val="3"/>
        <w:numPr>
          <w:ilvl w:val="0"/>
          <w:numId w:val="0"/>
        </w:numPr>
        <w:spacing w:before="1"/>
        <w:ind w:right="0" w:rightChars="0"/>
        <w:jc w:val="left"/>
        <w:rPr>
          <w:rFonts w:hint="default"/>
          <w:b w:val="0"/>
          <w:bCs w:val="0"/>
          <w:u w:val="none"/>
          <w:lang w:val="en-US"/>
        </w:rPr>
      </w:pPr>
    </w:p>
    <w:p w14:paraId="7A8527BA">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Mapping Non-State Armed Factions in Al-Gezira State………………………………………………7</w:t>
      </w:r>
    </w:p>
    <w:p w14:paraId="490846EB">
      <w:pPr>
        <w:pStyle w:val="3"/>
        <w:numPr>
          <w:ilvl w:val="0"/>
          <w:numId w:val="0"/>
        </w:numPr>
        <w:spacing w:before="1"/>
        <w:ind w:right="0" w:rightChars="0"/>
        <w:jc w:val="left"/>
        <w:rPr>
          <w:rFonts w:hint="default"/>
          <w:b w:val="0"/>
          <w:bCs w:val="0"/>
          <w:u w:val="none"/>
          <w:lang w:val="en-US"/>
        </w:rPr>
      </w:pPr>
    </w:p>
    <w:p w14:paraId="74039DBF">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Major Military and Paramilitary Entities Operating within Gezira……………………………………8</w:t>
      </w:r>
    </w:p>
    <w:p w14:paraId="13A316D2">
      <w:pPr>
        <w:pStyle w:val="3"/>
        <w:numPr>
          <w:ilvl w:val="0"/>
          <w:numId w:val="0"/>
        </w:numPr>
        <w:spacing w:before="1"/>
        <w:ind w:right="0" w:rightChars="0"/>
        <w:jc w:val="left"/>
        <w:rPr>
          <w:rFonts w:hint="default"/>
          <w:b w:val="0"/>
          <w:bCs w:val="0"/>
          <w:u w:val="none"/>
          <w:lang w:val="en-US"/>
        </w:rPr>
      </w:pPr>
    </w:p>
    <w:p w14:paraId="4B6C7607">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The Justice and Equality Movement (JEM) - Splinter Factions……………………………………….9</w:t>
      </w:r>
    </w:p>
    <w:p w14:paraId="52E8A2BB">
      <w:pPr>
        <w:pStyle w:val="3"/>
        <w:numPr>
          <w:ilvl w:val="0"/>
          <w:numId w:val="0"/>
        </w:numPr>
        <w:spacing w:before="1"/>
        <w:ind w:right="0" w:rightChars="0"/>
        <w:jc w:val="left"/>
        <w:rPr>
          <w:rFonts w:hint="default"/>
          <w:b w:val="0"/>
          <w:bCs w:val="0"/>
          <w:u w:val="none"/>
          <w:lang w:val="en-US"/>
        </w:rPr>
      </w:pPr>
    </w:p>
    <w:p w14:paraId="62A36659">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Macro- Spatial Grid of Militia Distribution……………………………………………………………10</w:t>
      </w:r>
    </w:p>
    <w:p w14:paraId="133045F2">
      <w:pPr>
        <w:pStyle w:val="3"/>
        <w:numPr>
          <w:ilvl w:val="0"/>
          <w:numId w:val="0"/>
        </w:numPr>
        <w:spacing w:before="1"/>
        <w:ind w:right="0" w:rightChars="0"/>
        <w:jc w:val="left"/>
        <w:rPr>
          <w:rFonts w:hint="default"/>
          <w:b w:val="0"/>
          <w:bCs w:val="0"/>
          <w:u w:val="none"/>
          <w:lang w:val="en-US"/>
        </w:rPr>
      </w:pPr>
    </w:p>
    <w:p w14:paraId="2DC12543">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State-Level Coordination and Relations Between Armed Entities……………………………………11</w:t>
      </w:r>
    </w:p>
    <w:p w14:paraId="4DA8B183">
      <w:pPr>
        <w:pStyle w:val="3"/>
        <w:numPr>
          <w:ilvl w:val="0"/>
          <w:numId w:val="0"/>
        </w:numPr>
        <w:spacing w:before="1"/>
        <w:ind w:right="0" w:rightChars="0"/>
        <w:jc w:val="left"/>
        <w:rPr>
          <w:rFonts w:hint="default"/>
          <w:b w:val="0"/>
          <w:bCs w:val="0"/>
          <w:u w:val="none"/>
          <w:lang w:val="en-US"/>
        </w:rPr>
      </w:pPr>
    </w:p>
    <w:p w14:paraId="2924A5D3">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Analysis of Vector 1 (Militia Re-Makeup)…………………………………………………………….12</w:t>
      </w:r>
    </w:p>
    <w:p w14:paraId="780F8FBF">
      <w:pPr>
        <w:pStyle w:val="3"/>
        <w:numPr>
          <w:ilvl w:val="0"/>
          <w:numId w:val="0"/>
        </w:numPr>
        <w:spacing w:before="1"/>
        <w:ind w:right="0" w:rightChars="0"/>
        <w:jc w:val="left"/>
        <w:rPr>
          <w:rFonts w:hint="default"/>
          <w:b w:val="0"/>
          <w:bCs w:val="0"/>
          <w:u w:val="none"/>
          <w:lang w:val="en-US"/>
        </w:rPr>
      </w:pPr>
    </w:p>
    <w:p w14:paraId="046BC213">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The Hybrid Security Ecosystem……………………………………………………………………….13</w:t>
      </w:r>
    </w:p>
    <w:p w14:paraId="1E16D0EF">
      <w:pPr>
        <w:pStyle w:val="3"/>
        <w:numPr>
          <w:ilvl w:val="0"/>
          <w:numId w:val="0"/>
        </w:numPr>
        <w:spacing w:before="1"/>
        <w:ind w:right="0" w:rightChars="0"/>
        <w:jc w:val="left"/>
        <w:rPr>
          <w:rFonts w:hint="default"/>
          <w:b w:val="0"/>
          <w:bCs w:val="0"/>
          <w:u w:val="none"/>
          <w:lang w:val="en-US"/>
        </w:rPr>
      </w:pPr>
    </w:p>
    <w:p w14:paraId="29D44FAE">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Tribalized Polarization ………………………………………………………………………………..14</w:t>
      </w:r>
    </w:p>
    <w:p w14:paraId="11D05160">
      <w:pPr>
        <w:pStyle w:val="3"/>
        <w:numPr>
          <w:ilvl w:val="0"/>
          <w:numId w:val="0"/>
        </w:numPr>
        <w:spacing w:before="1"/>
        <w:ind w:right="0" w:rightChars="0"/>
        <w:jc w:val="left"/>
        <w:rPr>
          <w:rFonts w:hint="default"/>
          <w:b w:val="0"/>
          <w:bCs w:val="0"/>
          <w:u w:val="none"/>
          <w:lang w:val="en-US"/>
        </w:rPr>
      </w:pPr>
    </w:p>
    <w:p w14:paraId="5A2034D9">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Strategic Policy Recommendations and Conclusion…………………………………………………..15</w:t>
      </w:r>
    </w:p>
    <w:p w14:paraId="585923C5">
      <w:pPr>
        <w:pStyle w:val="3"/>
        <w:numPr>
          <w:ilvl w:val="0"/>
          <w:numId w:val="0"/>
        </w:numPr>
        <w:spacing w:before="1"/>
        <w:ind w:right="0" w:rightChars="0"/>
        <w:jc w:val="left"/>
        <w:rPr>
          <w:rFonts w:hint="default"/>
          <w:b w:val="0"/>
          <w:bCs w:val="0"/>
          <w:u w:val="none"/>
          <w:lang w:val="en-US"/>
        </w:rPr>
      </w:pPr>
    </w:p>
    <w:p w14:paraId="5B4CC59F">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Comprehensive References….…………………………………………………………………………16</w:t>
      </w:r>
    </w:p>
    <w:p w14:paraId="11D58BD0">
      <w:pPr>
        <w:pStyle w:val="3"/>
        <w:numPr>
          <w:ilvl w:val="0"/>
          <w:numId w:val="0"/>
        </w:numPr>
        <w:spacing w:before="1"/>
        <w:ind w:right="0" w:rightChars="0"/>
        <w:jc w:val="left"/>
        <w:rPr>
          <w:rFonts w:hint="default"/>
          <w:b w:val="0"/>
          <w:bCs w:val="0"/>
          <w:u w:val="none"/>
          <w:lang w:val="en-US"/>
        </w:rPr>
      </w:pPr>
    </w:p>
    <w:p w14:paraId="395A5F6E">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Comprehensive References…………………………………………………………………………….17</w:t>
      </w:r>
    </w:p>
    <w:p w14:paraId="3BCD5DE5">
      <w:pPr>
        <w:pStyle w:val="3"/>
        <w:numPr>
          <w:ilvl w:val="0"/>
          <w:numId w:val="0"/>
        </w:numPr>
        <w:spacing w:before="1"/>
        <w:ind w:right="0" w:rightChars="0"/>
        <w:jc w:val="left"/>
        <w:rPr>
          <w:rFonts w:hint="default"/>
          <w:b w:val="0"/>
          <w:bCs w:val="0"/>
          <w:u w:val="none"/>
          <w:lang w:val="en-US"/>
        </w:rPr>
      </w:pPr>
    </w:p>
    <w:p w14:paraId="76355ECF">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Appendices……………………………………………………………………………………………..18</w:t>
      </w:r>
    </w:p>
    <w:p w14:paraId="2C39BB7C">
      <w:pPr>
        <w:pStyle w:val="3"/>
        <w:numPr>
          <w:ilvl w:val="0"/>
          <w:numId w:val="0"/>
        </w:numPr>
        <w:spacing w:before="1"/>
        <w:ind w:right="0" w:rightChars="0"/>
        <w:jc w:val="left"/>
        <w:rPr>
          <w:rFonts w:hint="default"/>
          <w:b w:val="0"/>
          <w:bCs w:val="0"/>
          <w:u w:val="none"/>
          <w:lang w:val="en-US"/>
        </w:rPr>
      </w:pPr>
    </w:p>
    <w:p w14:paraId="5344025E">
      <w:pPr>
        <w:pStyle w:val="3"/>
        <w:numPr>
          <w:ilvl w:val="0"/>
          <w:numId w:val="0"/>
        </w:numPr>
        <w:spacing w:before="1"/>
        <w:ind w:right="0" w:rightChars="0"/>
        <w:jc w:val="left"/>
        <w:rPr>
          <w:rFonts w:hint="default"/>
          <w:b w:val="0"/>
          <w:bCs w:val="0"/>
          <w:u w:val="none"/>
          <w:lang w:val="en-US"/>
        </w:rPr>
      </w:pPr>
      <w:r>
        <w:rPr>
          <w:rFonts w:hint="default"/>
          <w:b w:val="0"/>
          <w:bCs w:val="0"/>
          <w:u w:val="none"/>
          <w:lang w:val="en-US"/>
        </w:rPr>
        <w:t>Current Sanctions Status Matrix (As of June 2026)……………………………………………………19</w:t>
      </w:r>
    </w:p>
    <w:p w14:paraId="0E59AE59">
      <w:pPr>
        <w:pStyle w:val="3"/>
        <w:numPr>
          <w:ilvl w:val="0"/>
          <w:numId w:val="0"/>
        </w:numPr>
        <w:spacing w:before="1"/>
        <w:ind w:right="0" w:rightChars="0"/>
        <w:jc w:val="left"/>
        <w:rPr>
          <w:rFonts w:hint="default"/>
          <w:b w:val="0"/>
          <w:bCs w:val="0"/>
          <w:u w:val="none"/>
          <w:lang w:val="en-US"/>
        </w:rPr>
      </w:pPr>
    </w:p>
    <w:p w14:paraId="0B1A1257">
      <w:pPr>
        <w:pStyle w:val="3"/>
        <w:numPr>
          <w:ilvl w:val="0"/>
          <w:numId w:val="0"/>
        </w:numPr>
        <w:spacing w:before="1"/>
        <w:ind w:right="0" w:rightChars="0"/>
        <w:jc w:val="left"/>
        <w:rPr>
          <w:rFonts w:hint="default"/>
          <w:b w:val="0"/>
          <w:bCs w:val="0"/>
          <w:u w:val="none"/>
          <w:lang w:val="en-US"/>
        </w:rPr>
      </w:pPr>
    </w:p>
    <w:p w14:paraId="0EA0BAA2">
      <w:pPr>
        <w:pStyle w:val="3"/>
        <w:spacing w:before="1"/>
        <w:rPr>
          <w:u w:val="single"/>
        </w:rPr>
      </w:pPr>
    </w:p>
    <w:p w14:paraId="16B1E58C">
      <w:pPr>
        <w:pStyle w:val="3"/>
        <w:spacing w:before="1"/>
        <w:rPr>
          <w:u w:val="single"/>
        </w:rPr>
      </w:pPr>
    </w:p>
    <w:p w14:paraId="0A1A3B3C">
      <w:pPr>
        <w:pStyle w:val="3"/>
        <w:spacing w:before="1"/>
        <w:rPr>
          <w:u w:val="single"/>
        </w:rPr>
      </w:pPr>
    </w:p>
    <w:p w14:paraId="5F8528F8">
      <w:pPr>
        <w:pStyle w:val="3"/>
        <w:spacing w:before="1"/>
        <w:rPr>
          <w:u w:val="single"/>
        </w:rPr>
      </w:pPr>
    </w:p>
    <w:p w14:paraId="5C806F6D">
      <w:pPr>
        <w:pStyle w:val="3"/>
        <w:spacing w:before="1"/>
        <w:rPr>
          <w:u w:val="single"/>
        </w:rPr>
      </w:pPr>
    </w:p>
    <w:p w14:paraId="26C565C7">
      <w:pPr>
        <w:pStyle w:val="3"/>
        <w:spacing w:before="1"/>
        <w:rPr>
          <w:u w:val="single"/>
        </w:rPr>
      </w:pPr>
    </w:p>
    <w:p w14:paraId="20B01B0A">
      <w:pPr>
        <w:pStyle w:val="3"/>
        <w:spacing w:before="1"/>
        <w:ind w:left="0" w:leftChars="0" w:firstLine="0" w:firstLineChars="0"/>
        <w:rPr>
          <w:u w:val="single"/>
        </w:rPr>
      </w:pPr>
    </w:p>
    <w:p w14:paraId="09B8DC4C">
      <w:pPr>
        <w:pStyle w:val="3"/>
        <w:spacing w:before="1"/>
        <w:ind w:left="0" w:leftChars="0" w:firstLine="0" w:firstLineChars="0"/>
      </w:pPr>
      <w:r>
        <w:rPr>
          <w:u w:val="single"/>
        </w:rPr>
        <w:t>Executive</w:t>
      </w:r>
      <w:r>
        <w:rPr>
          <w:spacing w:val="-4"/>
          <w:u w:val="single"/>
        </w:rPr>
        <w:t xml:space="preserve"> </w:t>
      </w:r>
      <w:r>
        <w:rPr>
          <w:spacing w:val="-2"/>
          <w:u w:val="single"/>
        </w:rPr>
        <w:t>Summary</w:t>
      </w:r>
    </w:p>
    <w:p w14:paraId="3C447C70">
      <w:pPr>
        <w:spacing w:before="276"/>
        <w:ind w:left="360" w:right="0" w:firstLine="0"/>
        <w:jc w:val="both"/>
        <w:rPr>
          <w:b/>
          <w:sz w:val="24"/>
        </w:rPr>
      </w:pPr>
      <w:r>
        <w:rPr>
          <w:b/>
          <w:sz w:val="24"/>
        </w:rPr>
        <w:t>Context</w:t>
      </w:r>
      <w:r>
        <w:rPr>
          <w:b/>
          <w:spacing w:val="-2"/>
          <w:sz w:val="24"/>
        </w:rPr>
        <w:t xml:space="preserve"> </w:t>
      </w:r>
      <w:r>
        <w:rPr>
          <w:b/>
          <w:sz w:val="24"/>
        </w:rPr>
        <w:t>&amp;</w:t>
      </w:r>
      <w:r>
        <w:rPr>
          <w:b/>
          <w:spacing w:val="-2"/>
          <w:sz w:val="24"/>
        </w:rPr>
        <w:t xml:space="preserve"> </w:t>
      </w:r>
      <w:r>
        <w:rPr>
          <w:b/>
          <w:sz w:val="24"/>
        </w:rPr>
        <w:t>Problem</w:t>
      </w:r>
      <w:r>
        <w:rPr>
          <w:b/>
          <w:spacing w:val="-1"/>
          <w:sz w:val="24"/>
        </w:rPr>
        <w:t xml:space="preserve"> </w:t>
      </w:r>
      <w:r>
        <w:rPr>
          <w:b/>
          <w:spacing w:val="-2"/>
          <w:sz w:val="24"/>
        </w:rPr>
        <w:t>Statement</w:t>
      </w:r>
    </w:p>
    <w:p w14:paraId="217E0B8E">
      <w:pPr>
        <w:pStyle w:val="6"/>
        <w:ind w:left="360" w:right="355"/>
        <w:jc w:val="both"/>
      </w:pPr>
      <w:r>
        <w:t>Al-Gezira State, traditionally the peaceful agrarian heartland and economic engine of Sudan, is rapidly descending into systemic instability. Following the macro-level warfare between the Sudanese Armed Forces (SAF) and the</w:t>
      </w:r>
      <w:r>
        <w:rPr>
          <w:spacing w:val="-1"/>
        </w:rPr>
        <w:t xml:space="preserve"> </w:t>
      </w:r>
      <w:r>
        <w:t>Rapid Support Forces (RSF),</w:t>
      </w:r>
      <w:r>
        <w:rPr>
          <w:spacing w:val="-1"/>
        </w:rPr>
        <w:t xml:space="preserve"> </w:t>
      </w:r>
      <w:r>
        <w:t>the</w:t>
      </w:r>
      <w:r>
        <w:rPr>
          <w:spacing w:val="-1"/>
        </w:rPr>
        <w:t xml:space="preserve"> </w:t>
      </w:r>
      <w:r>
        <w:t>region has seen a</w:t>
      </w:r>
      <w:r>
        <w:rPr>
          <w:spacing w:val="-1"/>
        </w:rPr>
        <w:t xml:space="preserve"> </w:t>
      </w:r>
      <w:r>
        <w:t>dangerous</w:t>
      </w:r>
      <w:r>
        <w:rPr>
          <w:spacing w:val="-1"/>
        </w:rPr>
        <w:t xml:space="preserve"> </w:t>
      </w:r>
      <w:r>
        <w:t>proliferation of non-state armed actors. These include the Sudan Shield Forces (SSF), Islamist brigades (e.g., Al-Baraa Ibn Malik), tribal formations, and splinters of the Justice and Equality Movement (JEM). Rather than acting as mere extensions of national coalitions, these factions are exploiting the structural collapse of the state and its 2.1-million-feddan Gezira Agricultural Scheme to pursue independent, self-serving political and economic agendas.</w:t>
      </w:r>
    </w:p>
    <w:p w14:paraId="525DA884">
      <w:pPr>
        <w:pStyle w:val="3"/>
        <w:jc w:val="both"/>
      </w:pPr>
      <w:r>
        <w:t>Analytical</w:t>
      </w:r>
      <w:r>
        <w:rPr>
          <w:spacing w:val="-3"/>
        </w:rPr>
        <w:t xml:space="preserve"> </w:t>
      </w:r>
      <w:r>
        <w:t>Approach:</w:t>
      </w:r>
      <w:r>
        <w:rPr>
          <w:spacing w:val="-2"/>
        </w:rPr>
        <w:t xml:space="preserve"> </w:t>
      </w:r>
      <w:r>
        <w:t>Addressing</w:t>
      </w:r>
      <w:r>
        <w:rPr>
          <w:spacing w:val="-3"/>
        </w:rPr>
        <w:t xml:space="preserve"> </w:t>
      </w:r>
      <w:r>
        <w:t>the</w:t>
      </w:r>
      <w:r>
        <w:rPr>
          <w:spacing w:val="-2"/>
        </w:rPr>
        <w:t xml:space="preserve"> </w:t>
      </w:r>
      <w:r>
        <w:t>Three</w:t>
      </w:r>
      <w:r>
        <w:rPr>
          <w:spacing w:val="-3"/>
        </w:rPr>
        <w:t xml:space="preserve"> </w:t>
      </w:r>
      <w:r>
        <w:rPr>
          <w:spacing w:val="-4"/>
        </w:rPr>
        <w:t>Gaps</w:t>
      </w:r>
    </w:p>
    <w:p w14:paraId="26A9A82C">
      <w:pPr>
        <w:pStyle w:val="6"/>
        <w:ind w:left="360" w:right="354"/>
        <w:jc w:val="both"/>
      </w:pPr>
      <w:r>
        <w:t>Conventional macro-political analyses routinely overlook the ground-level drivers of Sudan's fragmentation.</w:t>
      </w:r>
      <w:r>
        <w:rPr>
          <w:spacing w:val="-1"/>
        </w:rPr>
        <w:t xml:space="preserve"> </w:t>
      </w:r>
      <w:r>
        <w:t>To provide</w:t>
      </w:r>
      <w:r>
        <w:rPr>
          <w:spacing w:val="-2"/>
        </w:rPr>
        <w:t xml:space="preserve"> </w:t>
      </w:r>
      <w:r>
        <w:t>an accurate diagnosis,</w:t>
      </w:r>
      <w:r>
        <w:rPr>
          <w:spacing w:val="-1"/>
        </w:rPr>
        <w:t xml:space="preserve"> </w:t>
      </w:r>
      <w:r>
        <w:t>this</w:t>
      </w:r>
      <w:r>
        <w:rPr>
          <w:spacing w:val="-1"/>
        </w:rPr>
        <w:t xml:space="preserve"> </w:t>
      </w:r>
      <w:r>
        <w:t>brief</w:t>
      </w:r>
      <w:r>
        <w:rPr>
          <w:spacing w:val="-2"/>
        </w:rPr>
        <w:t xml:space="preserve"> </w:t>
      </w:r>
      <w:r>
        <w:t>utilizes a</w:t>
      </w:r>
      <w:r>
        <w:rPr>
          <w:spacing w:val="-2"/>
        </w:rPr>
        <w:t xml:space="preserve"> </w:t>
      </w:r>
      <w:r>
        <w:t>localized,</w:t>
      </w:r>
      <w:r>
        <w:rPr>
          <w:spacing w:val="-1"/>
        </w:rPr>
        <w:t xml:space="preserve"> </w:t>
      </w:r>
      <w:r>
        <w:t>empirical</w:t>
      </w:r>
      <w:r>
        <w:rPr>
          <w:spacing w:val="-1"/>
        </w:rPr>
        <w:t xml:space="preserve"> </w:t>
      </w:r>
      <w:r>
        <w:t>mixed-methods framework—triangulating key informant interviews (KIIs) and field survey data—built around three critical analytical vectors:</w:t>
      </w:r>
    </w:p>
    <w:p w14:paraId="3EC4434F">
      <w:pPr>
        <w:pStyle w:val="10"/>
        <w:numPr>
          <w:ilvl w:val="0"/>
          <w:numId w:val="1"/>
        </w:numPr>
        <w:tabs>
          <w:tab w:val="left" w:pos="1080"/>
        </w:tabs>
        <w:spacing w:before="274" w:after="0" w:line="256" w:lineRule="auto"/>
        <w:ind w:left="1080" w:right="359" w:hanging="360"/>
        <w:jc w:val="left"/>
        <w:rPr>
          <w:sz w:val="24"/>
        </w:rPr>
      </w:pPr>
      <w:r>
        <w:rPr>
          <w:b/>
          <w:sz w:val="24"/>
        </w:rPr>
        <w:t>The Militia Re-Makeup</w:t>
      </w:r>
      <w:r>
        <w:rPr>
          <w:sz w:val="24"/>
        </w:rPr>
        <w:t>: Tracking the evolution of armed groups from dependent state proxies into autonomous, sovereign competitors.</w:t>
      </w:r>
    </w:p>
    <w:p w14:paraId="1CD7300F">
      <w:pPr>
        <w:pStyle w:val="10"/>
        <w:numPr>
          <w:ilvl w:val="0"/>
          <w:numId w:val="1"/>
        </w:numPr>
        <w:tabs>
          <w:tab w:val="left" w:pos="1080"/>
        </w:tabs>
        <w:spacing w:before="0" w:after="0" w:line="254" w:lineRule="auto"/>
        <w:ind w:left="1080" w:right="360" w:hanging="360"/>
        <w:jc w:val="left"/>
        <w:rPr>
          <w:sz w:val="24"/>
        </w:rPr>
      </w:pPr>
      <w:r>
        <w:rPr>
          <w:b/>
          <w:sz w:val="24"/>
        </w:rPr>
        <w:t>The Hybrid Security Ecosystem</w:t>
      </w:r>
      <w:r>
        <w:rPr>
          <w:sz w:val="24"/>
        </w:rPr>
        <w:t>: Mapping the heavily blurred boundaries where formal state</w:t>
      </w:r>
      <w:r>
        <w:rPr>
          <w:spacing w:val="40"/>
          <w:sz w:val="24"/>
        </w:rPr>
        <w:t xml:space="preserve"> </w:t>
      </w:r>
      <w:r>
        <w:rPr>
          <w:sz w:val="24"/>
        </w:rPr>
        <w:t>administrative remnants and informal security actors intersect and collude.</w:t>
      </w:r>
    </w:p>
    <w:p w14:paraId="02A68A35">
      <w:pPr>
        <w:pStyle w:val="10"/>
        <w:numPr>
          <w:ilvl w:val="0"/>
          <w:numId w:val="1"/>
        </w:numPr>
        <w:tabs>
          <w:tab w:val="left" w:pos="1080"/>
        </w:tabs>
        <w:spacing w:before="3" w:after="0" w:line="256" w:lineRule="auto"/>
        <w:ind w:left="1080" w:right="355" w:hanging="360"/>
        <w:jc w:val="left"/>
        <w:rPr>
          <w:sz w:val="24"/>
        </w:rPr>
      </w:pPr>
      <w:r>
        <w:rPr>
          <w:b/>
          <w:sz w:val="24"/>
        </w:rPr>
        <w:t>Micro-Political Dynamics</w:t>
      </w:r>
      <w:r>
        <w:rPr>
          <w:sz w:val="24"/>
        </w:rPr>
        <w:t>:</w:t>
      </w:r>
      <w:r>
        <w:rPr>
          <w:spacing w:val="-5"/>
          <w:sz w:val="24"/>
        </w:rPr>
        <w:t xml:space="preserve"> </w:t>
      </w:r>
      <w:r>
        <w:rPr>
          <w:sz w:val="24"/>
        </w:rPr>
        <w:t>Isolating</w:t>
      </w:r>
      <w:r>
        <w:rPr>
          <w:spacing w:val="-5"/>
          <w:sz w:val="24"/>
        </w:rPr>
        <w:t xml:space="preserve"> </w:t>
      </w:r>
      <w:r>
        <w:rPr>
          <w:sz w:val="24"/>
        </w:rPr>
        <w:t>granular,</w:t>
      </w:r>
      <w:r>
        <w:rPr>
          <w:spacing w:val="-5"/>
          <w:sz w:val="24"/>
        </w:rPr>
        <w:t xml:space="preserve"> </w:t>
      </w:r>
      <w:r>
        <w:rPr>
          <w:sz w:val="24"/>
        </w:rPr>
        <w:t>village-level</w:t>
      </w:r>
      <w:r>
        <w:rPr>
          <w:spacing w:val="-3"/>
          <w:sz w:val="24"/>
        </w:rPr>
        <w:t xml:space="preserve"> </w:t>
      </w:r>
      <w:r>
        <w:rPr>
          <w:sz w:val="24"/>
        </w:rPr>
        <w:t>resource</w:t>
      </w:r>
      <w:r>
        <w:rPr>
          <w:spacing w:val="-5"/>
          <w:sz w:val="24"/>
        </w:rPr>
        <w:t xml:space="preserve"> </w:t>
      </w:r>
      <w:r>
        <w:rPr>
          <w:sz w:val="24"/>
        </w:rPr>
        <w:t>conflicts</w:t>
      </w:r>
      <w:r>
        <w:rPr>
          <w:spacing w:val="-5"/>
          <w:sz w:val="24"/>
        </w:rPr>
        <w:t xml:space="preserve"> </w:t>
      </w:r>
      <w:r>
        <w:rPr>
          <w:sz w:val="24"/>
        </w:rPr>
        <w:t>rather</w:t>
      </w:r>
      <w:r>
        <w:rPr>
          <w:spacing w:val="-6"/>
          <w:sz w:val="24"/>
        </w:rPr>
        <w:t xml:space="preserve"> </w:t>
      </w:r>
      <w:r>
        <w:rPr>
          <w:sz w:val="24"/>
        </w:rPr>
        <w:t>than</w:t>
      </w:r>
      <w:r>
        <w:rPr>
          <w:spacing w:val="-4"/>
          <w:sz w:val="24"/>
        </w:rPr>
        <w:t xml:space="preserve"> </w:t>
      </w:r>
      <w:r>
        <w:rPr>
          <w:sz w:val="24"/>
        </w:rPr>
        <w:t>relying solely on broad national political narratives.</w:t>
      </w:r>
    </w:p>
    <w:p w14:paraId="1242FF13">
      <w:pPr>
        <w:pStyle w:val="3"/>
        <w:spacing w:before="274"/>
        <w:jc w:val="both"/>
      </w:pPr>
      <w:r>
        <w:t>Key</w:t>
      </w:r>
      <w:r>
        <w:rPr>
          <w:spacing w:val="-3"/>
        </w:rPr>
        <w:t xml:space="preserve"> </w:t>
      </w:r>
      <w:r>
        <w:t>Findings</w:t>
      </w:r>
      <w:r>
        <w:rPr>
          <w:spacing w:val="-3"/>
        </w:rPr>
        <w:t xml:space="preserve"> </w:t>
      </w:r>
      <w:r>
        <w:t>&amp;</w:t>
      </w:r>
      <w:r>
        <w:rPr>
          <w:spacing w:val="-3"/>
        </w:rPr>
        <w:t xml:space="preserve"> </w:t>
      </w:r>
      <w:r>
        <w:t>Evaluated</w:t>
      </w:r>
      <w:r>
        <w:rPr>
          <w:spacing w:val="-2"/>
        </w:rPr>
        <w:t xml:space="preserve"> Scenarios</w:t>
      </w:r>
    </w:p>
    <w:p w14:paraId="3F9F5370">
      <w:pPr>
        <w:pStyle w:val="6"/>
        <w:ind w:left="360" w:right="365"/>
        <w:jc w:val="both"/>
      </w:pPr>
      <w:r>
        <w:t>The triangulation of field data reveals that the Gezira Scheme has mutated from an agrarian asset into a critical resource trap, actively fueling three simultaneous conflict trajectories:</w:t>
      </w:r>
    </w:p>
    <w:p w14:paraId="40D16255">
      <w:pPr>
        <w:pStyle w:val="6"/>
      </w:pPr>
    </w:p>
    <w:p w14:paraId="18EFFB22">
      <w:pPr>
        <w:spacing w:before="0"/>
        <w:ind w:left="360" w:right="356" w:firstLine="0"/>
        <w:jc w:val="both"/>
        <w:rPr>
          <w:sz w:val="24"/>
        </w:rPr>
      </w:pPr>
      <w:r>
        <w:rPr>
          <w:b/>
          <w:sz w:val="24"/>
        </w:rPr>
        <w:t xml:space="preserve">Scenario 1: The Fragmentation Trap (High Probability / Current Baseline): </w:t>
      </w:r>
      <w:r>
        <w:rPr>
          <w:sz w:val="24"/>
        </w:rPr>
        <w:t>Erratic structural mutations, opportunistic defections, and horizontal rivalries—most notably involving the SSF—are triggering localized command splintering. Factions break away from national proxy networks to claim independent territorial control over micro-geographic footprints.</w:t>
      </w:r>
    </w:p>
    <w:p w14:paraId="58053057">
      <w:pPr>
        <w:pStyle w:val="6"/>
      </w:pPr>
    </w:p>
    <w:p w14:paraId="7D1ED120">
      <w:pPr>
        <w:pStyle w:val="6"/>
        <w:ind w:left="360" w:right="357"/>
        <w:jc w:val="both"/>
      </w:pPr>
      <w:r>
        <w:rPr>
          <w:b/>
        </w:rPr>
        <w:t>Scenario 2: The Warlord Cartel (Entrenched Reality)</w:t>
      </w:r>
      <w:r>
        <w:t>: In relatively secure zones, SSF, JEM, and Islamist</w:t>
      </w:r>
      <w:r>
        <w:rPr>
          <w:spacing w:val="40"/>
        </w:rPr>
        <w:t xml:space="preserve"> </w:t>
      </w:r>
      <w:r>
        <w:t>factions</w:t>
      </w:r>
      <w:r>
        <w:rPr>
          <w:spacing w:val="40"/>
        </w:rPr>
        <w:t xml:space="preserve"> </w:t>
      </w:r>
      <w:r>
        <w:t>are institutionalizing</w:t>
      </w:r>
      <w:r>
        <w:rPr>
          <w:spacing w:val="40"/>
        </w:rPr>
        <w:t xml:space="preserve"> </w:t>
      </w:r>
      <w:r>
        <w:t>their</w:t>
      </w:r>
      <w:r>
        <w:rPr>
          <w:spacing w:val="40"/>
        </w:rPr>
        <w:t xml:space="preserve"> </w:t>
      </w:r>
      <w:r>
        <w:t>presence</w:t>
      </w:r>
      <w:r>
        <w:rPr>
          <w:spacing w:val="40"/>
        </w:rPr>
        <w:t xml:space="preserve"> </w:t>
      </w:r>
      <w:r>
        <w:t>within</w:t>
      </w:r>
      <w:r>
        <w:rPr>
          <w:spacing w:val="40"/>
        </w:rPr>
        <w:t xml:space="preserve"> </w:t>
      </w:r>
      <w:r>
        <w:t>a</w:t>
      </w:r>
      <w:r>
        <w:rPr>
          <w:spacing w:val="40"/>
        </w:rPr>
        <w:t xml:space="preserve"> </w:t>
      </w:r>
      <w:r>
        <w:t>corrupt</w:t>
      </w:r>
      <w:r>
        <w:rPr>
          <w:spacing w:val="40"/>
        </w:rPr>
        <w:t xml:space="preserve"> </w:t>
      </w:r>
      <w:r>
        <w:t>hybrid</w:t>
      </w:r>
      <w:r>
        <w:rPr>
          <w:spacing w:val="40"/>
        </w:rPr>
        <w:t xml:space="preserve"> </w:t>
      </w:r>
      <w:r>
        <w:t>security</w:t>
      </w:r>
      <w:r>
        <w:rPr>
          <w:spacing w:val="40"/>
        </w:rPr>
        <w:t xml:space="preserve"> </w:t>
      </w:r>
      <w:r>
        <w:t>space.</w:t>
      </w:r>
      <w:r>
        <w:rPr>
          <w:spacing w:val="40"/>
        </w:rPr>
        <w:t xml:space="preserve"> </w:t>
      </w:r>
      <w:r>
        <w:t>By</w:t>
      </w:r>
      <w:r>
        <w:rPr>
          <w:spacing w:val="40"/>
        </w:rPr>
        <w:t xml:space="preserve"> </w:t>
      </w:r>
      <w:r>
        <w:t>co-opting municipal crop-marketing boards, extracting percentages of market fees and taxation, and seizing agricultural yields, they turn war profiteering into a pseudo-legal administrative function. This exploitation relies heavily on official institutional facilitation, including the illicit issuance of commercial permits and powers of attorney, government fee exemptions, smuggling networks, and the extortion of remittances from citizens.</w:t>
      </w:r>
    </w:p>
    <w:p w14:paraId="68465442">
      <w:pPr>
        <w:pStyle w:val="6"/>
      </w:pPr>
    </w:p>
    <w:p w14:paraId="02A8D38E">
      <w:pPr>
        <w:pStyle w:val="6"/>
        <w:spacing w:before="1"/>
        <w:ind w:left="360" w:right="358"/>
        <w:jc w:val="both"/>
      </w:pPr>
      <w:r>
        <w:rPr>
          <w:b/>
        </w:rPr>
        <w:t>Scenario 3: Tribalized Polarization (Critical Risk Trajectory)</w:t>
      </w:r>
      <w:r>
        <w:t>: The collapse of formal agricultural tenancy laws, illegal land-sizing, and rising ethnic enmity have allowed militias to weaponize historic land tenure and residency grievances. By backing riverine groups against communities originating from western Sudan and orchestrating forcible displacement, militias are driving the state toward existential ethnic polarization, specifically targeting marginalized Kanabi settlements.</w:t>
      </w:r>
    </w:p>
    <w:p w14:paraId="47F077FF">
      <w:pPr>
        <w:pStyle w:val="6"/>
        <w:spacing w:after="0"/>
        <w:jc w:val="both"/>
        <w:sectPr>
          <w:headerReference r:id="rId5" w:type="default"/>
          <w:footerReference r:id="rId6" w:type="default"/>
          <w:pgSz w:w="12240" w:h="15840"/>
          <w:pgMar w:top="1340" w:right="720" w:bottom="1160" w:left="720" w:header="72" w:footer="966" w:gutter="0"/>
          <w:pgNumType w:start="2"/>
          <w:cols w:space="720" w:num="1"/>
        </w:sectPr>
      </w:pPr>
    </w:p>
    <w:p w14:paraId="47B3EFB6">
      <w:pPr>
        <w:pStyle w:val="3"/>
        <w:spacing w:before="260"/>
        <w:jc w:val="both"/>
      </w:pPr>
      <w:r>
        <w:t>Strategic</w:t>
      </w:r>
      <w:r>
        <w:rPr>
          <w:spacing w:val="-4"/>
        </w:rPr>
        <w:t xml:space="preserve"> </w:t>
      </w:r>
      <w:r>
        <w:rPr>
          <w:spacing w:val="-2"/>
        </w:rPr>
        <w:t>Recommendations</w:t>
      </w:r>
    </w:p>
    <w:p w14:paraId="65E7D41F">
      <w:pPr>
        <w:pStyle w:val="6"/>
        <w:ind w:left="360" w:right="358"/>
        <w:jc w:val="both"/>
      </w:pPr>
      <w:r>
        <w:t>Top-down diplomatic settlements between macro-belligerents will fail to stabilize Central Sudan if the material</w:t>
      </w:r>
      <w:r>
        <w:rPr>
          <w:spacing w:val="-2"/>
        </w:rPr>
        <w:t xml:space="preserve"> </w:t>
      </w:r>
      <w:r>
        <w:t>incentives</w:t>
      </w:r>
      <w:r>
        <w:rPr>
          <w:spacing w:val="-2"/>
        </w:rPr>
        <w:t xml:space="preserve"> </w:t>
      </w:r>
      <w:r>
        <w:t>driving</w:t>
      </w:r>
      <w:r>
        <w:rPr>
          <w:spacing w:val="-2"/>
        </w:rPr>
        <w:t xml:space="preserve"> </w:t>
      </w:r>
      <w:r>
        <w:t>local</w:t>
      </w:r>
      <w:r>
        <w:rPr>
          <w:spacing w:val="-2"/>
        </w:rPr>
        <w:t xml:space="preserve"> </w:t>
      </w:r>
      <w:r>
        <w:t>militias</w:t>
      </w:r>
      <w:r>
        <w:rPr>
          <w:spacing w:val="-2"/>
        </w:rPr>
        <w:t xml:space="preserve"> </w:t>
      </w:r>
      <w:r>
        <w:t>are</w:t>
      </w:r>
      <w:r>
        <w:rPr>
          <w:spacing w:val="-4"/>
        </w:rPr>
        <w:t xml:space="preserve"> </w:t>
      </w:r>
      <w:r>
        <w:t>left</w:t>
      </w:r>
      <w:r>
        <w:rPr>
          <w:spacing w:val="-2"/>
        </w:rPr>
        <w:t xml:space="preserve"> </w:t>
      </w:r>
      <w:r>
        <w:t>intact.</w:t>
      </w:r>
      <w:r>
        <w:rPr>
          <w:spacing w:val="-2"/>
        </w:rPr>
        <w:t xml:space="preserve"> </w:t>
      </w:r>
      <w:r>
        <w:t>This</w:t>
      </w:r>
      <w:r>
        <w:rPr>
          <w:spacing w:val="-2"/>
        </w:rPr>
        <w:t xml:space="preserve"> </w:t>
      </w:r>
      <w:r>
        <w:t>policy</w:t>
      </w:r>
      <w:r>
        <w:rPr>
          <w:spacing w:val="-2"/>
        </w:rPr>
        <w:t xml:space="preserve"> </w:t>
      </w:r>
      <w:r>
        <w:t>brief</w:t>
      </w:r>
      <w:r>
        <w:rPr>
          <w:spacing w:val="-3"/>
        </w:rPr>
        <w:t xml:space="preserve"> </w:t>
      </w:r>
      <w:r>
        <w:t>proposes</w:t>
      </w:r>
      <w:r>
        <w:rPr>
          <w:spacing w:val="-2"/>
        </w:rPr>
        <w:t xml:space="preserve"> </w:t>
      </w:r>
      <w:r>
        <w:t>a</w:t>
      </w:r>
      <w:r>
        <w:rPr>
          <w:spacing w:val="-3"/>
        </w:rPr>
        <w:t xml:space="preserve"> </w:t>
      </w:r>
      <w:r>
        <w:t>targeted,</w:t>
      </w:r>
      <w:r>
        <w:rPr>
          <w:spacing w:val="-3"/>
        </w:rPr>
        <w:t xml:space="preserve"> </w:t>
      </w:r>
      <w:r>
        <w:t>three-tiered intervention strategy:</w:t>
      </w:r>
    </w:p>
    <w:p w14:paraId="03692632">
      <w:pPr>
        <w:pStyle w:val="6"/>
      </w:pPr>
    </w:p>
    <w:p w14:paraId="577B1069">
      <w:pPr>
        <w:pStyle w:val="10"/>
        <w:numPr>
          <w:ilvl w:val="0"/>
          <w:numId w:val="2"/>
        </w:numPr>
        <w:tabs>
          <w:tab w:val="left" w:pos="1080"/>
        </w:tabs>
        <w:spacing w:before="0" w:after="0" w:line="256" w:lineRule="auto"/>
        <w:ind w:left="1080" w:right="357" w:hanging="360"/>
        <w:jc w:val="both"/>
        <w:rPr>
          <w:sz w:val="24"/>
        </w:rPr>
      </w:pPr>
      <w:r>
        <w:rPr>
          <w:i/>
          <w:sz w:val="24"/>
        </w:rPr>
        <w:t>Dismantle the Cartel Economy</w:t>
      </w:r>
      <w:r>
        <w:rPr>
          <w:sz w:val="24"/>
        </w:rPr>
        <w:t>: Establish an independent international asset-shielding board to audit and protect the Gezira Scheme's industrial infrastructure (ginning mills and silos). Bypass physical checkpoint extortion by implementing decentralized, digital supply chains managed by neutral, civilian-led local councils.</w:t>
      </w:r>
    </w:p>
    <w:p w14:paraId="45C580A6">
      <w:pPr>
        <w:pStyle w:val="10"/>
        <w:numPr>
          <w:ilvl w:val="0"/>
          <w:numId w:val="2"/>
        </w:numPr>
        <w:tabs>
          <w:tab w:val="left" w:pos="1080"/>
        </w:tabs>
        <w:spacing w:before="0" w:after="0" w:line="256" w:lineRule="auto"/>
        <w:ind w:left="1080" w:right="361" w:hanging="360"/>
        <w:jc w:val="both"/>
        <w:rPr>
          <w:sz w:val="24"/>
        </w:rPr>
      </w:pPr>
      <w:r>
        <w:rPr>
          <w:i/>
          <w:sz w:val="24"/>
        </w:rPr>
        <w:t>Enforce Command Accountability</w:t>
      </w:r>
      <w:r>
        <w:rPr>
          <w:sz w:val="24"/>
        </w:rPr>
        <w:t>: Condition any future security sector integration on verifiable command unification. Enforce targeted mid-level multilateral sanctions against field</w:t>
      </w:r>
      <w:r>
        <w:rPr>
          <w:spacing w:val="40"/>
          <w:sz w:val="24"/>
        </w:rPr>
        <w:t xml:space="preserve"> </w:t>
      </w:r>
      <w:r>
        <w:rPr>
          <w:sz w:val="24"/>
        </w:rPr>
        <w:t>commanders orchestrating localized splintering and racketeering.</w:t>
      </w:r>
    </w:p>
    <w:p w14:paraId="352FE03E">
      <w:pPr>
        <w:pStyle w:val="10"/>
        <w:numPr>
          <w:ilvl w:val="0"/>
          <w:numId w:val="2"/>
        </w:numPr>
        <w:tabs>
          <w:tab w:val="left" w:pos="1080"/>
        </w:tabs>
        <w:spacing w:before="0" w:after="0" w:line="256" w:lineRule="auto"/>
        <w:ind w:left="1080" w:right="359" w:hanging="360"/>
        <w:jc w:val="both"/>
        <w:rPr>
          <w:sz w:val="24"/>
        </w:rPr>
      </w:pPr>
      <w:r>
        <w:rPr>
          <w:i/>
          <w:sz w:val="24"/>
        </w:rPr>
        <w:t>Stabilize Local Land Tenure</w:t>
      </w:r>
      <w:r>
        <w:rPr>
          <w:sz w:val="24"/>
        </w:rPr>
        <w:t>: Issue an immediate administrative moratorium on all land title alterations within the Gezira Scheme to prevent militias from engineering demographic shifts. Revitalize traditional cross-communal arbitration committees (Ajaweed) and deploy targeted human rights observation mandates to protect vulnerable Kanabi communities.</w:t>
      </w:r>
    </w:p>
    <w:p w14:paraId="098F7D86">
      <w:pPr>
        <w:pStyle w:val="6"/>
        <w:spacing w:before="266"/>
      </w:pPr>
    </w:p>
    <w:p w14:paraId="738462BD">
      <w:pPr>
        <w:pStyle w:val="3"/>
        <w:numPr>
          <w:ilvl w:val="0"/>
          <w:numId w:val="3"/>
        </w:numPr>
        <w:tabs>
          <w:tab w:val="left" w:pos="540"/>
        </w:tabs>
        <w:spacing w:before="0" w:after="0" w:line="240" w:lineRule="auto"/>
        <w:ind w:left="540" w:right="0" w:hanging="180"/>
        <w:jc w:val="both"/>
        <w:rPr>
          <w:u w:val="single"/>
        </w:rPr>
      </w:pPr>
      <w:r>
        <w:rPr>
          <w:u w:val="single"/>
        </w:rPr>
        <w:t xml:space="preserve"> ​</w:t>
      </w:r>
      <w:r>
        <w:rPr>
          <w:spacing w:val="-2"/>
          <w:u w:val="single"/>
        </w:rPr>
        <w:t>Introduction</w:t>
      </w:r>
    </w:p>
    <w:p w14:paraId="06C4E407">
      <w:pPr>
        <w:pStyle w:val="6"/>
        <w:ind w:left="360" w:right="358"/>
        <w:jc w:val="both"/>
      </w:pPr>
      <w:r>
        <w:t>Throughout Sudan, the growing presence of militias has become a critical threat to state survival, regional stability, and social integration. Rather than serving merely as auxiliary tools that prolong existing warfare, these non-state armed groups have evolved into independent political and economic actors. In the historically peaceful state of Al-Gezira in central Sudan, traditionally recognized as the country's agricultural engine, the current crisis risks precipitating a collapse into localized chaos. The region is rapidly being drawn into the broader, existential cycle of militarization and political turmoil gripping the nation.</w:t>
      </w:r>
    </w:p>
    <w:p w14:paraId="4051F43C">
      <w:pPr>
        <w:pStyle w:val="6"/>
      </w:pPr>
    </w:p>
    <w:p w14:paraId="58C16ACD">
      <w:pPr>
        <w:pStyle w:val="6"/>
        <w:ind w:left="360" w:right="355"/>
        <w:jc w:val="both"/>
      </w:pPr>
      <w:r>
        <w:t>Historically</w:t>
      </w:r>
      <w:r>
        <w:rPr>
          <w:spacing w:val="40"/>
        </w:rPr>
        <w:t xml:space="preserve"> </w:t>
      </w:r>
      <w:r>
        <w:t>insulated from</w:t>
      </w:r>
      <w:r>
        <w:rPr>
          <w:spacing w:val="40"/>
        </w:rPr>
        <w:t xml:space="preserve"> </w:t>
      </w:r>
      <w:r>
        <w:t>the peripheral</w:t>
      </w:r>
      <w:r>
        <w:rPr>
          <w:spacing w:val="40"/>
        </w:rPr>
        <w:t xml:space="preserve"> </w:t>
      </w:r>
      <w:r>
        <w:t>conflicts</w:t>
      </w:r>
      <w:r>
        <w:rPr>
          <w:spacing w:val="40"/>
        </w:rPr>
        <w:t xml:space="preserve"> </w:t>
      </w:r>
      <w:r>
        <w:t>that</w:t>
      </w:r>
      <w:r>
        <w:rPr>
          <w:spacing w:val="40"/>
        </w:rPr>
        <w:t xml:space="preserve"> </w:t>
      </w:r>
      <w:r>
        <w:t>have defined</w:t>
      </w:r>
      <w:r>
        <w:rPr>
          <w:spacing w:val="40"/>
        </w:rPr>
        <w:t xml:space="preserve"> </w:t>
      </w:r>
      <w:r>
        <w:t>Sudan's</w:t>
      </w:r>
      <w:r>
        <w:rPr>
          <w:spacing w:val="40"/>
        </w:rPr>
        <w:t xml:space="preserve"> </w:t>
      </w:r>
      <w:r>
        <w:t>modern</w:t>
      </w:r>
      <w:r>
        <w:rPr>
          <w:spacing w:val="40"/>
        </w:rPr>
        <w:t xml:space="preserve"> </w:t>
      </w:r>
      <w:r>
        <w:t>history,</w:t>
      </w:r>
      <w:r>
        <w:rPr>
          <w:spacing w:val="40"/>
        </w:rPr>
        <w:t xml:space="preserve"> </w:t>
      </w:r>
      <w:r>
        <w:t>Al-Gezira's security architecture was shattered following the widespread brutality of the SAF and the RSF. In the vacuum left by these macro-belligerents, a volatile constellation of reservists, Islamist factions, and armed sub-groups has emerged, poisoning the state’s remaining social cohesion. Originally mobilized or co-opted by competing national elites to secure factional regimes, these militias have fundamentally pivoted toward self-serving agendas. They now drive systemic militarization, mass civilian casualties, severe social fragmentation, and aggressive war profiteering. As horizontal tensions escalate, Al-Gezira is being pushed toward an uncertain future mediated by an unyielding mix of power struggles, territorial dominance, contested land rights, and competitive economic extraction.</w:t>
      </w:r>
    </w:p>
    <w:p w14:paraId="0E35A9A4">
      <w:pPr>
        <w:pStyle w:val="6"/>
        <w:spacing w:before="1"/>
        <w:ind w:left="360" w:right="359" w:firstLine="720"/>
        <w:jc w:val="both"/>
      </w:pPr>
      <w:r>
        <w:t>Investigating these developments requires a fundamental shift in analytical frameworks. Current research and literature addressing Sudan’s militia crisis frequently suffer from significant structural and factual misalignments. By relying heavily on macro-political lenses, existing analyses fail to empirically question the true intentions of diverse armed groups, ultimately overlooking three critical vectors:</w:t>
      </w:r>
    </w:p>
    <w:p w14:paraId="40BD8C00">
      <w:pPr>
        <w:pStyle w:val="6"/>
      </w:pPr>
    </w:p>
    <w:p w14:paraId="1F737942">
      <w:pPr>
        <w:pStyle w:val="10"/>
        <w:numPr>
          <w:ilvl w:val="0"/>
          <w:numId w:val="4"/>
        </w:numPr>
        <w:tabs>
          <w:tab w:val="left" w:pos="1080"/>
        </w:tabs>
        <w:spacing w:before="0" w:after="0" w:line="254" w:lineRule="auto"/>
        <w:ind w:left="1080" w:right="362" w:hanging="360"/>
        <w:jc w:val="both"/>
        <w:rPr>
          <w:sz w:val="24"/>
        </w:rPr>
      </w:pPr>
      <w:r>
        <w:rPr>
          <w:sz w:val="24"/>
          <w:u w:val="single"/>
        </w:rPr>
        <w:t>The Militia Re-Makeup</w:t>
      </w:r>
      <w:r>
        <w:rPr>
          <w:sz w:val="24"/>
        </w:rPr>
        <w:t>: The evolution of these groups from dependent state proxies into autonomous, sovereign competitors.</w:t>
      </w:r>
    </w:p>
    <w:p w14:paraId="32799E44">
      <w:pPr>
        <w:pStyle w:val="10"/>
        <w:numPr>
          <w:ilvl w:val="0"/>
          <w:numId w:val="4"/>
        </w:numPr>
        <w:tabs>
          <w:tab w:val="left" w:pos="1080"/>
        </w:tabs>
        <w:spacing w:before="3" w:after="0" w:line="256" w:lineRule="auto"/>
        <w:ind w:left="1080" w:right="357" w:hanging="360"/>
        <w:jc w:val="both"/>
        <w:rPr>
          <w:sz w:val="24"/>
        </w:rPr>
      </w:pPr>
      <w:r>
        <w:rPr>
          <w:sz w:val="24"/>
          <w:u w:val="single"/>
        </w:rPr>
        <w:t>The Hybrid Security Ecosystem</w:t>
      </w:r>
      <w:r>
        <w:rPr>
          <w:sz w:val="24"/>
        </w:rPr>
        <w:t>: The heavily blurred boundaries where formal state institutions and informal security actors intersect and collude.</w:t>
      </w:r>
    </w:p>
    <w:p w14:paraId="54FD7F53">
      <w:pPr>
        <w:pStyle w:val="10"/>
        <w:spacing w:after="0" w:line="256" w:lineRule="auto"/>
        <w:jc w:val="both"/>
        <w:rPr>
          <w:sz w:val="24"/>
        </w:rPr>
        <w:sectPr>
          <w:pgSz w:w="12240" w:h="15840"/>
          <w:pgMar w:top="1360" w:right="720" w:bottom="1240" w:left="720" w:header="72" w:footer="966" w:gutter="0"/>
          <w:cols w:space="720" w:num="1"/>
        </w:sectPr>
      </w:pPr>
    </w:p>
    <w:p w14:paraId="00D1EDFA">
      <w:pPr>
        <w:pStyle w:val="10"/>
        <w:numPr>
          <w:ilvl w:val="0"/>
          <w:numId w:val="4"/>
        </w:numPr>
        <w:tabs>
          <w:tab w:val="left" w:pos="1080"/>
        </w:tabs>
        <w:spacing w:before="0" w:after="0" w:line="254" w:lineRule="auto"/>
        <w:ind w:left="1080" w:right="357" w:hanging="360"/>
        <w:jc w:val="left"/>
        <w:rPr>
          <w:sz w:val="24"/>
        </w:rPr>
      </w:pPr>
      <w:r>
        <w:rPr>
          <w:sz w:val="24"/>
          <w:u w:val="single"/>
        </w:rPr>
        <w:t>Micro-Political Dynamics</w:t>
      </w:r>
      <w:r>
        <w:rPr>
          <w:sz w:val="24"/>
        </w:rPr>
        <w:t>: The localized, granular drivers of conflict—such as agricultural asset disputes—as opposed to broad, state-level military narratives.</w:t>
      </w:r>
    </w:p>
    <w:p w14:paraId="79531458">
      <w:pPr>
        <w:pStyle w:val="6"/>
        <w:spacing w:before="269"/>
        <w:ind w:left="360" w:right="355" w:firstLine="360"/>
        <w:jc w:val="both"/>
      </w:pPr>
      <w:r>
        <w:t>To bridge these conceptual gaps, this study moves away from a strictly macro-political analysis to localize and specify ongoing events and potential conflicts within the target region. Drawing on comprehensive survey work and key informant interviews within Al-Gezira, this paper aims to achieve three core objectives. First, it examines how existing militias leverage tribal fragmentation, shifting loyalties, and historic grievances, thereby elevating the risk of localized conflict. Second, it explains</w:t>
      </w:r>
      <w:r>
        <w:rPr>
          <w:spacing w:val="40"/>
        </w:rPr>
        <w:t xml:space="preserve"> </w:t>
      </w:r>
      <w:r>
        <w:t xml:space="preserve">how the evolution of these militias into profit-driven entities aligns with efforts to capture agricultural assets, land rights, and regional revenues. Finally, it investigates how horizontal rivalries among these militias drive competitive efforts to capture local politics and governance structures for the post-conflict </w:t>
      </w:r>
      <w:r>
        <w:rPr>
          <w:spacing w:val="-2"/>
        </w:rPr>
        <w:t>future.</w:t>
      </w:r>
    </w:p>
    <w:p w14:paraId="4E06AF80">
      <w:pPr>
        <w:pStyle w:val="6"/>
      </w:pPr>
    </w:p>
    <w:p w14:paraId="412C5EEB">
      <w:pPr>
        <w:pStyle w:val="6"/>
        <w:spacing w:before="1"/>
        <w:ind w:left="360" w:firstLine="720"/>
      </w:pPr>
      <w:r>
        <w:t>Ultimately,</w:t>
      </w:r>
      <w:r>
        <w:rPr>
          <w:spacing w:val="37"/>
        </w:rPr>
        <w:t xml:space="preserve"> </w:t>
      </w:r>
      <w:r>
        <w:t>this</w:t>
      </w:r>
      <w:r>
        <w:rPr>
          <w:spacing w:val="36"/>
        </w:rPr>
        <w:t xml:space="preserve"> </w:t>
      </w:r>
      <w:r>
        <w:t>empirical</w:t>
      </w:r>
      <w:r>
        <w:rPr>
          <w:spacing w:val="37"/>
        </w:rPr>
        <w:t xml:space="preserve"> </w:t>
      </w:r>
      <w:r>
        <w:t>baseline</w:t>
      </w:r>
      <w:r>
        <w:rPr>
          <w:spacing w:val="35"/>
        </w:rPr>
        <w:t xml:space="preserve"> </w:t>
      </w:r>
      <w:r>
        <w:t>serves</w:t>
      </w:r>
      <w:r>
        <w:rPr>
          <w:spacing w:val="36"/>
        </w:rPr>
        <w:t xml:space="preserve"> </w:t>
      </w:r>
      <w:r>
        <w:t>to</w:t>
      </w:r>
      <w:r>
        <w:rPr>
          <w:spacing w:val="37"/>
        </w:rPr>
        <w:t xml:space="preserve"> </w:t>
      </w:r>
      <w:r>
        <w:t>construct</w:t>
      </w:r>
      <w:r>
        <w:rPr>
          <w:spacing w:val="37"/>
        </w:rPr>
        <w:t xml:space="preserve"> </w:t>
      </w:r>
      <w:r>
        <w:t>and</w:t>
      </w:r>
      <w:r>
        <w:rPr>
          <w:spacing w:val="36"/>
        </w:rPr>
        <w:t xml:space="preserve"> </w:t>
      </w:r>
      <w:r>
        <w:t>evaluate</w:t>
      </w:r>
      <w:r>
        <w:rPr>
          <w:spacing w:val="35"/>
        </w:rPr>
        <w:t xml:space="preserve"> </w:t>
      </w:r>
      <w:r>
        <w:t>three</w:t>
      </w:r>
      <w:r>
        <w:rPr>
          <w:spacing w:val="35"/>
        </w:rPr>
        <w:t xml:space="preserve"> </w:t>
      </w:r>
      <w:r>
        <w:t>prospective</w:t>
      </w:r>
      <w:r>
        <w:rPr>
          <w:spacing w:val="35"/>
        </w:rPr>
        <w:t xml:space="preserve"> </w:t>
      </w:r>
      <w:r>
        <w:t>conflict scenarios facing the state:</w:t>
      </w:r>
    </w:p>
    <w:p w14:paraId="1029EC2C">
      <w:pPr>
        <w:pStyle w:val="6"/>
      </w:pPr>
    </w:p>
    <w:p w14:paraId="537F10B3">
      <w:pPr>
        <w:pStyle w:val="6"/>
        <w:ind w:left="360" w:right="354"/>
        <w:jc w:val="both"/>
      </w:pPr>
      <w:r>
        <w:rPr>
          <w:i/>
        </w:rPr>
        <w:t>The Fragmentation Trap</w:t>
      </w:r>
      <w:r>
        <w:t>: A trajectory where horizontal rivalries among localized sub-commands and military entities override macro-alliances, triggering a hyper-fractured civil war within the state over immediate geographic footprints.</w:t>
      </w:r>
    </w:p>
    <w:p w14:paraId="5715E174">
      <w:pPr>
        <w:pStyle w:val="6"/>
      </w:pPr>
    </w:p>
    <w:p w14:paraId="554599D7">
      <w:pPr>
        <w:pStyle w:val="6"/>
        <w:ind w:left="360" w:right="356"/>
        <w:jc w:val="both"/>
      </w:pPr>
      <w:r>
        <w:rPr>
          <w:i/>
        </w:rPr>
        <w:t>The Warlord Cartel</w:t>
      </w:r>
      <w:r>
        <w:t>: A model wherein armed groups institutionalize their presence within the hybrid security ecosystem, establishing stable, non-aggression economic monopolies to permanently exploit agricultural revenues and trade corridors.</w:t>
      </w:r>
    </w:p>
    <w:p w14:paraId="4F2836EB">
      <w:pPr>
        <w:pStyle w:val="6"/>
      </w:pPr>
    </w:p>
    <w:p w14:paraId="69F3B69B">
      <w:pPr>
        <w:pStyle w:val="6"/>
        <w:ind w:left="360" w:right="360"/>
        <w:jc w:val="both"/>
      </w:pPr>
      <w:r>
        <w:rPr>
          <w:i/>
        </w:rPr>
        <w:t>Tribalized Polarization</w:t>
      </w:r>
      <w:r>
        <w:t>: A worst-case trajectory where cross-cutting political alignments dissolve completely in favor of rigid, existential ethnic confrontations over land rights and permanent demographic displacement.</w:t>
      </w:r>
    </w:p>
    <w:p w14:paraId="55A747C7">
      <w:pPr>
        <w:pStyle w:val="6"/>
      </w:pPr>
    </w:p>
    <w:p w14:paraId="27485821">
      <w:pPr>
        <w:pStyle w:val="6"/>
        <w:ind w:left="360" w:right="366" w:firstLine="720"/>
      </w:pPr>
      <w:r>
        <w:t>By mapping field data against these predictive models, this study provides a vital diagnostic tool for understanding the localized, self-sustaining mechanics of Sudan's ongoing fragmentation.</w:t>
      </w:r>
    </w:p>
    <w:p w14:paraId="63AA3251">
      <w:pPr>
        <w:pStyle w:val="6"/>
      </w:pPr>
    </w:p>
    <w:p w14:paraId="00D862E3">
      <w:pPr>
        <w:pStyle w:val="3"/>
        <w:numPr>
          <w:ilvl w:val="0"/>
          <w:numId w:val="3"/>
        </w:numPr>
        <w:tabs>
          <w:tab w:val="left" w:pos="540"/>
        </w:tabs>
        <w:spacing w:before="0" w:after="0" w:line="240" w:lineRule="auto"/>
        <w:ind w:left="540" w:right="0" w:hanging="180"/>
        <w:jc w:val="both"/>
        <w:rPr>
          <w:u w:val="single"/>
        </w:rPr>
      </w:pPr>
      <w:r>
        <w:rPr>
          <w:spacing w:val="-4"/>
          <w:u w:val="single"/>
        </w:rPr>
        <w:t xml:space="preserve"> </w:t>
      </w:r>
      <w:r>
        <w:rPr>
          <w:u w:val="single"/>
        </w:rPr>
        <w:t>​Background:</w:t>
      </w:r>
      <w:r>
        <w:rPr>
          <w:spacing w:val="-2"/>
          <w:u w:val="single"/>
        </w:rPr>
        <w:t xml:space="preserve"> </w:t>
      </w:r>
      <w:r>
        <w:rPr>
          <w:u w:val="single"/>
        </w:rPr>
        <w:t>The</w:t>
      </w:r>
      <w:r>
        <w:rPr>
          <w:spacing w:val="-3"/>
          <w:u w:val="single"/>
        </w:rPr>
        <w:t xml:space="preserve"> </w:t>
      </w:r>
      <w:r>
        <w:rPr>
          <w:u w:val="single"/>
        </w:rPr>
        <w:t>Gezira</w:t>
      </w:r>
      <w:r>
        <w:rPr>
          <w:spacing w:val="-1"/>
          <w:u w:val="single"/>
        </w:rPr>
        <w:t xml:space="preserve"> </w:t>
      </w:r>
      <w:r>
        <w:rPr>
          <w:u w:val="single"/>
        </w:rPr>
        <w:t>Scheme</w:t>
      </w:r>
      <w:r>
        <w:rPr>
          <w:spacing w:val="-3"/>
          <w:u w:val="single"/>
        </w:rPr>
        <w:t xml:space="preserve"> </w:t>
      </w:r>
      <w:r>
        <w:rPr>
          <w:u w:val="single"/>
        </w:rPr>
        <w:t>as</w:t>
      </w:r>
      <w:r>
        <w:rPr>
          <w:spacing w:val="-3"/>
          <w:u w:val="single"/>
        </w:rPr>
        <w:t xml:space="preserve"> </w:t>
      </w:r>
      <w:r>
        <w:rPr>
          <w:u w:val="single"/>
        </w:rPr>
        <w:t>an</w:t>
      </w:r>
      <w:r>
        <w:rPr>
          <w:spacing w:val="-1"/>
          <w:u w:val="single"/>
        </w:rPr>
        <w:t xml:space="preserve"> </w:t>
      </w:r>
      <w:r>
        <w:rPr>
          <w:u w:val="single"/>
        </w:rPr>
        <w:t>Economic</w:t>
      </w:r>
      <w:r>
        <w:rPr>
          <w:spacing w:val="-2"/>
          <w:u w:val="single"/>
        </w:rPr>
        <w:t xml:space="preserve"> </w:t>
      </w:r>
      <w:r>
        <w:rPr>
          <w:u w:val="single"/>
        </w:rPr>
        <w:t>and</w:t>
      </w:r>
      <w:r>
        <w:rPr>
          <w:spacing w:val="-4"/>
          <w:u w:val="single"/>
        </w:rPr>
        <w:t xml:space="preserve"> </w:t>
      </w:r>
      <w:r>
        <w:rPr>
          <w:u w:val="single"/>
        </w:rPr>
        <w:t>Strategic</w:t>
      </w:r>
      <w:r>
        <w:rPr>
          <w:spacing w:val="-1"/>
          <w:u w:val="single"/>
        </w:rPr>
        <w:t xml:space="preserve"> </w:t>
      </w:r>
      <w:r>
        <w:rPr>
          <w:spacing w:val="-2"/>
          <w:u w:val="single"/>
        </w:rPr>
        <w:t>Prize</w:t>
      </w:r>
    </w:p>
    <w:p w14:paraId="50AFB2AB">
      <w:pPr>
        <w:pStyle w:val="6"/>
        <w:spacing w:before="1"/>
        <w:ind w:left="360" w:right="359"/>
        <w:jc w:val="both"/>
      </w:pPr>
      <w:r>
        <w:t>To understand how Al-Gezira State transitioned from a historic haven of stability into an active zone of militia proliferation, one must analyze the geopolitical and economic weight of the Gezira Scheme (Mashrou' al-Gezira). Spanning roughly 2.1 million feddans between the Blue and White Nile rivers, it remains</w:t>
      </w:r>
      <w:r>
        <w:rPr>
          <w:spacing w:val="-3"/>
        </w:rPr>
        <w:t xml:space="preserve"> </w:t>
      </w:r>
      <w:r>
        <w:t>one</w:t>
      </w:r>
      <w:r>
        <w:rPr>
          <w:spacing w:val="-1"/>
        </w:rPr>
        <w:t xml:space="preserve"> </w:t>
      </w:r>
      <w:r>
        <w:t>of</w:t>
      </w:r>
      <w:r>
        <w:rPr>
          <w:spacing w:val="-1"/>
        </w:rPr>
        <w:t xml:space="preserve"> </w:t>
      </w:r>
      <w:r>
        <w:t>the</w:t>
      </w:r>
      <w:r>
        <w:rPr>
          <w:spacing w:val="-2"/>
        </w:rPr>
        <w:t xml:space="preserve"> </w:t>
      </w:r>
      <w:r>
        <w:t>largest</w:t>
      </w:r>
      <w:r>
        <w:rPr>
          <w:spacing w:val="-2"/>
        </w:rPr>
        <w:t xml:space="preserve"> </w:t>
      </w:r>
      <w:r>
        <w:t>cooperative</w:t>
      </w:r>
      <w:r>
        <w:rPr>
          <w:spacing w:val="-1"/>
        </w:rPr>
        <w:t xml:space="preserve"> </w:t>
      </w:r>
      <w:r>
        <w:t>agricultural irrigation</w:t>
      </w:r>
      <w:r>
        <w:rPr>
          <w:spacing w:val="-2"/>
        </w:rPr>
        <w:t xml:space="preserve"> </w:t>
      </w:r>
      <w:r>
        <w:t>projects</w:t>
      </w:r>
      <w:r>
        <w:rPr>
          <w:spacing w:val="-3"/>
        </w:rPr>
        <w:t xml:space="preserve"> </w:t>
      </w:r>
      <w:r>
        <w:t>in</w:t>
      </w:r>
      <w:r>
        <w:rPr>
          <w:spacing w:val="-2"/>
        </w:rPr>
        <w:t xml:space="preserve"> </w:t>
      </w:r>
      <w:r>
        <w:t>the</w:t>
      </w:r>
      <w:r>
        <w:rPr>
          <w:spacing w:val="-1"/>
        </w:rPr>
        <w:t xml:space="preserve"> </w:t>
      </w:r>
      <w:r>
        <w:t>world</w:t>
      </w:r>
      <w:r>
        <w:rPr>
          <w:spacing w:val="-2"/>
        </w:rPr>
        <w:t xml:space="preserve"> </w:t>
      </w:r>
      <w:r>
        <w:t>(FAO</w:t>
      </w:r>
      <w:r>
        <w:rPr>
          <w:spacing w:val="-1"/>
        </w:rPr>
        <w:t xml:space="preserve"> </w:t>
      </w:r>
      <w:r>
        <w:t>&amp;</w:t>
      </w:r>
      <w:r>
        <w:rPr>
          <w:spacing w:val="-2"/>
        </w:rPr>
        <w:t xml:space="preserve"> </w:t>
      </w:r>
      <w:r>
        <w:t>World</w:t>
      </w:r>
      <w:r>
        <w:rPr>
          <w:spacing w:val="-2"/>
        </w:rPr>
        <w:t xml:space="preserve"> </w:t>
      </w:r>
      <w:r>
        <w:t>Bank). In the current conflict, the Scheme is no longer merely an agrarian enterprise; it has become the primary structural anchor driving the Militia Re-makeup, cementing a Hybrid Security Ecosystem, and fueling highly volatile Micro-Political Dynamics.</w:t>
      </w:r>
    </w:p>
    <w:p w14:paraId="52641C71">
      <w:pPr>
        <w:pStyle w:val="6"/>
      </w:pPr>
    </w:p>
    <w:p w14:paraId="5DC883A4">
      <w:pPr>
        <w:pStyle w:val="3"/>
        <w:numPr>
          <w:ilvl w:val="1"/>
          <w:numId w:val="3"/>
        </w:numPr>
        <w:tabs>
          <w:tab w:val="left" w:pos="720"/>
        </w:tabs>
        <w:spacing w:before="0" w:after="0" w:line="240" w:lineRule="auto"/>
        <w:ind w:left="720" w:right="0" w:hanging="360"/>
        <w:jc w:val="both"/>
      </w:pPr>
      <w:r>
        <w:t>Historical</w:t>
      </w:r>
      <w:r>
        <w:rPr>
          <w:spacing w:val="-3"/>
        </w:rPr>
        <w:t xml:space="preserve"> </w:t>
      </w:r>
      <w:r>
        <w:t>Legacy</w:t>
      </w:r>
      <w:r>
        <w:rPr>
          <w:spacing w:val="-1"/>
        </w:rPr>
        <w:t xml:space="preserve"> </w:t>
      </w:r>
      <w:r>
        <w:t>and</w:t>
      </w:r>
      <w:r>
        <w:rPr>
          <w:spacing w:val="-1"/>
        </w:rPr>
        <w:t xml:space="preserve"> </w:t>
      </w:r>
      <w:r>
        <w:t xml:space="preserve">Social </w:t>
      </w:r>
      <w:r>
        <w:rPr>
          <w:spacing w:val="-2"/>
        </w:rPr>
        <w:t>Cohesion</w:t>
      </w:r>
    </w:p>
    <w:p w14:paraId="246C328B">
      <w:pPr>
        <w:pStyle w:val="6"/>
        <w:ind w:left="360" w:right="355"/>
        <w:jc w:val="both"/>
      </w:pPr>
      <w:r>
        <w:t>The British colonial administration established the scheme in 1925, drastically reshaping the demography of Central Sudan. Post-independence, it served as the bedrock of the national economy, generating the bulk of Sudan's foreign currency and sustaining millions of livelihoods through a</w:t>
      </w:r>
      <w:r>
        <w:rPr>
          <w:spacing w:val="40"/>
        </w:rPr>
        <w:t xml:space="preserve"> </w:t>
      </w:r>
      <w:r>
        <w:t>complex network of tenant farmers and administrators. Crucially, the socio-economic architecture of the Scheme historically fostered a unique brand of social cohesion. Because the tenancy system required daily</w:t>
      </w:r>
      <w:r>
        <w:rPr>
          <w:spacing w:val="6"/>
        </w:rPr>
        <w:t xml:space="preserve"> </w:t>
      </w:r>
      <w:r>
        <w:t>cooperation</w:t>
      </w:r>
      <w:r>
        <w:rPr>
          <w:spacing w:val="8"/>
        </w:rPr>
        <w:t xml:space="preserve"> </w:t>
      </w:r>
      <w:r>
        <w:t>among</w:t>
      </w:r>
      <w:r>
        <w:rPr>
          <w:spacing w:val="12"/>
        </w:rPr>
        <w:t xml:space="preserve"> </w:t>
      </w:r>
      <w:r>
        <w:t>diverse</w:t>
      </w:r>
      <w:r>
        <w:rPr>
          <w:spacing w:val="10"/>
        </w:rPr>
        <w:t xml:space="preserve"> </w:t>
      </w:r>
      <w:r>
        <w:t>ethnic</w:t>
      </w:r>
      <w:r>
        <w:rPr>
          <w:spacing w:val="7"/>
        </w:rPr>
        <w:t xml:space="preserve"> </w:t>
      </w:r>
      <w:r>
        <w:t>groups</w:t>
      </w:r>
      <w:r>
        <w:rPr>
          <w:spacing w:val="11"/>
        </w:rPr>
        <w:t xml:space="preserve"> </w:t>
      </w:r>
      <w:r>
        <w:t>and</w:t>
      </w:r>
      <w:r>
        <w:rPr>
          <w:spacing w:val="8"/>
        </w:rPr>
        <w:t xml:space="preserve"> </w:t>
      </w:r>
      <w:r>
        <w:t>migratory</w:t>
      </w:r>
      <w:r>
        <w:rPr>
          <w:spacing w:val="8"/>
        </w:rPr>
        <w:t xml:space="preserve"> </w:t>
      </w:r>
      <w:r>
        <w:t>labor</w:t>
      </w:r>
      <w:r>
        <w:rPr>
          <w:spacing w:val="10"/>
        </w:rPr>
        <w:t xml:space="preserve"> </w:t>
      </w:r>
      <w:r>
        <w:t>forces,</w:t>
      </w:r>
      <w:r>
        <w:rPr>
          <w:spacing w:val="10"/>
        </w:rPr>
        <w:t xml:space="preserve"> </w:t>
      </w:r>
      <w:r>
        <w:t>Al-Gezira</w:t>
      </w:r>
      <w:r>
        <w:rPr>
          <w:spacing w:val="7"/>
        </w:rPr>
        <w:t xml:space="preserve"> </w:t>
      </w:r>
      <w:r>
        <w:t>developed</w:t>
      </w:r>
      <w:r>
        <w:rPr>
          <w:spacing w:val="11"/>
        </w:rPr>
        <w:t xml:space="preserve"> </w:t>
      </w:r>
      <w:r>
        <w:rPr>
          <w:spacing w:val="-2"/>
        </w:rPr>
        <w:t>robust,</w:t>
      </w:r>
    </w:p>
    <w:p w14:paraId="73C4B877">
      <w:pPr>
        <w:pStyle w:val="6"/>
        <w:spacing w:after="0"/>
        <w:jc w:val="both"/>
        <w:sectPr>
          <w:pgSz w:w="12240" w:h="15840"/>
          <w:pgMar w:top="1360" w:right="720" w:bottom="1240" w:left="720" w:header="72" w:footer="966" w:gutter="0"/>
          <w:cols w:space="720" w:num="1"/>
        </w:sectPr>
      </w:pPr>
    </w:p>
    <w:p w14:paraId="658215F4">
      <w:pPr>
        <w:pStyle w:val="6"/>
        <w:ind w:left="360" w:right="355"/>
        <w:jc w:val="both"/>
      </w:pPr>
      <w:r>
        <w:t>non-violent dispute-resolution mechanisms. For decades, this socio-economic interdependence insulated the state from the identity-driven peripheral wars that ravaged Darfur and Kordofan.</w:t>
      </w:r>
    </w:p>
    <w:p w14:paraId="58D79E17">
      <w:pPr>
        <w:pStyle w:val="3"/>
        <w:numPr>
          <w:ilvl w:val="1"/>
          <w:numId w:val="3"/>
        </w:numPr>
        <w:tabs>
          <w:tab w:val="left" w:pos="720"/>
        </w:tabs>
        <w:spacing w:before="266" w:after="0" w:line="240" w:lineRule="auto"/>
        <w:ind w:left="720" w:right="0" w:hanging="360"/>
        <w:jc w:val="both"/>
      </w:pPr>
      <w:r>
        <w:t>Economic</w:t>
      </w:r>
      <w:r>
        <w:rPr>
          <w:spacing w:val="-2"/>
        </w:rPr>
        <w:t xml:space="preserve"> </w:t>
      </w:r>
      <w:r>
        <w:t>Collapse</w:t>
      </w:r>
      <w:r>
        <w:rPr>
          <w:spacing w:val="-5"/>
        </w:rPr>
        <w:t xml:space="preserve"> </w:t>
      </w:r>
      <w:r>
        <w:t>and</w:t>
      </w:r>
      <w:r>
        <w:rPr>
          <w:spacing w:val="-2"/>
        </w:rPr>
        <w:t xml:space="preserve"> </w:t>
      </w:r>
      <w:r>
        <w:t>the</w:t>
      </w:r>
      <w:r>
        <w:rPr>
          <w:spacing w:val="-2"/>
        </w:rPr>
        <w:t xml:space="preserve"> </w:t>
      </w:r>
      <w:r>
        <w:t>Roots</w:t>
      </w:r>
      <w:r>
        <w:rPr>
          <w:spacing w:val="-2"/>
        </w:rPr>
        <w:t xml:space="preserve"> </w:t>
      </w:r>
      <w:r>
        <w:t>of</w:t>
      </w:r>
      <w:r>
        <w:rPr>
          <w:spacing w:val="-3"/>
        </w:rPr>
        <w:t xml:space="preserve"> </w:t>
      </w:r>
      <w:r>
        <w:rPr>
          <w:spacing w:val="-2"/>
        </w:rPr>
        <w:t>Factionalization</w:t>
      </w:r>
    </w:p>
    <w:p w14:paraId="22B5B45E">
      <w:pPr>
        <w:pStyle w:val="6"/>
        <w:ind w:left="360" w:right="356"/>
        <w:jc w:val="both"/>
      </w:pPr>
      <w:r>
        <w:t>The structural vulnerability of Al-Gezira began long before the outbreak of the current war. Decades of institutional neglect, politicized mismanagement, and aggressive privatization under the National</w:t>
      </w:r>
      <w:r>
        <w:rPr>
          <w:spacing w:val="40"/>
        </w:rPr>
        <w:t xml:space="preserve"> </w:t>
      </w:r>
      <w:r>
        <w:t>Islamic Front (NIF) regime systematically dismantled the Scheme's public infrastructure. The</w:t>
      </w:r>
      <w:r>
        <w:rPr>
          <w:spacing w:val="40"/>
        </w:rPr>
        <w:t xml:space="preserve"> </w:t>
      </w:r>
      <w:r>
        <w:t>dissolution of state-managed agricultural boards disrupted financing, degraded vital gravity-fed canal systems, and threw tenant-state relations into chaos.</w:t>
      </w:r>
    </w:p>
    <w:p w14:paraId="4C6B8FB8">
      <w:pPr>
        <w:pStyle w:val="6"/>
        <w:ind w:left="360" w:right="363" w:firstLine="720"/>
        <w:jc w:val="both"/>
      </w:pPr>
      <w:r>
        <w:t>This economic destabilization created a vast, disenfranchised rural youth demographic. With agriculture failing to provide a viable livelihood, local populations became highly vulnerable to alternative</w:t>
      </w:r>
      <w:r>
        <w:rPr>
          <w:spacing w:val="-1"/>
        </w:rPr>
        <w:t xml:space="preserve"> </w:t>
      </w:r>
      <w:r>
        <w:t>economic</w:t>
      </w:r>
      <w:r>
        <w:rPr>
          <w:spacing w:val="-1"/>
        </w:rPr>
        <w:t xml:space="preserve"> </w:t>
      </w:r>
      <w:r>
        <w:t>networks.</w:t>
      </w:r>
      <w:r>
        <w:rPr>
          <w:spacing w:val="-2"/>
        </w:rPr>
        <w:t xml:space="preserve"> </w:t>
      </w:r>
      <w:r>
        <w:t>When</w:t>
      </w:r>
      <w:r>
        <w:rPr>
          <w:spacing w:val="-2"/>
        </w:rPr>
        <w:t xml:space="preserve"> </w:t>
      </w:r>
      <w:r>
        <w:t>the</w:t>
      </w:r>
      <w:r>
        <w:rPr>
          <w:spacing w:val="-1"/>
        </w:rPr>
        <w:t xml:space="preserve"> </w:t>
      </w:r>
      <w:r>
        <w:t>broader</w:t>
      </w:r>
      <w:r>
        <w:rPr>
          <w:spacing w:val="-1"/>
        </w:rPr>
        <w:t xml:space="preserve"> </w:t>
      </w:r>
      <w:r>
        <w:t>war</w:t>
      </w:r>
      <w:r>
        <w:rPr>
          <w:spacing w:val="-1"/>
        </w:rPr>
        <w:t xml:space="preserve"> </w:t>
      </w:r>
      <w:r>
        <w:t>between</w:t>
      </w:r>
      <w:r>
        <w:rPr>
          <w:spacing w:val="-2"/>
        </w:rPr>
        <w:t xml:space="preserve"> </w:t>
      </w:r>
      <w:r>
        <w:t>the</w:t>
      </w:r>
      <w:r>
        <w:rPr>
          <w:spacing w:val="-3"/>
        </w:rPr>
        <w:t xml:space="preserve"> </w:t>
      </w:r>
      <w:r>
        <w:t>SAF</w:t>
      </w:r>
      <w:r>
        <w:rPr>
          <w:spacing w:val="-4"/>
        </w:rPr>
        <w:t xml:space="preserve"> </w:t>
      </w:r>
      <w:r>
        <w:t>and</w:t>
      </w:r>
      <w:r>
        <w:rPr>
          <w:spacing w:val="-2"/>
        </w:rPr>
        <w:t xml:space="preserve"> </w:t>
      </w:r>
      <w:r>
        <w:t>the</w:t>
      </w:r>
      <w:r>
        <w:rPr>
          <w:spacing w:val="-2"/>
        </w:rPr>
        <w:t xml:space="preserve"> </w:t>
      </w:r>
      <w:r>
        <w:t>RSF</w:t>
      </w:r>
      <w:r>
        <w:rPr>
          <w:spacing w:val="-4"/>
        </w:rPr>
        <w:t xml:space="preserve"> </w:t>
      </w:r>
      <w:r>
        <w:t>spilled into</w:t>
      </w:r>
      <w:r>
        <w:rPr>
          <w:spacing w:val="-2"/>
        </w:rPr>
        <w:t xml:space="preserve"> </w:t>
      </w:r>
      <w:r>
        <w:t>Central Sudan, the remnants of the Gezira Scheme mutated into a highly lucrative theater for war profiteering.</w:t>
      </w:r>
    </w:p>
    <w:p w14:paraId="6802876A">
      <w:pPr>
        <w:pStyle w:val="6"/>
        <w:spacing w:before="1"/>
      </w:pPr>
    </w:p>
    <w:p w14:paraId="068B10A4">
      <w:pPr>
        <w:pStyle w:val="3"/>
        <w:numPr>
          <w:ilvl w:val="1"/>
          <w:numId w:val="3"/>
        </w:numPr>
        <w:tabs>
          <w:tab w:val="left" w:pos="660"/>
        </w:tabs>
        <w:spacing w:before="0" w:after="0" w:line="240" w:lineRule="auto"/>
        <w:ind w:left="660" w:right="0" w:hanging="300"/>
        <w:jc w:val="both"/>
        <w:rPr>
          <w:u w:val="single"/>
        </w:rPr>
      </w:pPr>
      <w:r>
        <w:rPr>
          <w:spacing w:val="-3"/>
          <w:u w:val="single"/>
        </w:rPr>
        <w:t xml:space="preserve"> </w:t>
      </w:r>
      <w:r>
        <w:rPr>
          <w:u w:val="single"/>
        </w:rPr>
        <w:t>​Integrating</w:t>
      </w:r>
      <w:r>
        <w:rPr>
          <w:spacing w:val="-2"/>
          <w:u w:val="single"/>
        </w:rPr>
        <w:t xml:space="preserve"> </w:t>
      </w:r>
      <w:r>
        <w:rPr>
          <w:u w:val="single"/>
        </w:rPr>
        <w:t>the</w:t>
      </w:r>
      <w:r>
        <w:rPr>
          <w:spacing w:val="-3"/>
          <w:u w:val="single"/>
        </w:rPr>
        <w:t xml:space="preserve"> </w:t>
      </w:r>
      <w:r>
        <w:rPr>
          <w:u w:val="single"/>
        </w:rPr>
        <w:t>Three</w:t>
      </w:r>
      <w:r>
        <w:rPr>
          <w:spacing w:val="-3"/>
          <w:u w:val="single"/>
        </w:rPr>
        <w:t xml:space="preserve"> </w:t>
      </w:r>
      <w:r>
        <w:rPr>
          <w:u w:val="single"/>
        </w:rPr>
        <w:t>Analytical</w:t>
      </w:r>
      <w:r>
        <w:rPr>
          <w:spacing w:val="-2"/>
          <w:u w:val="single"/>
        </w:rPr>
        <w:t xml:space="preserve"> </w:t>
      </w:r>
      <w:r>
        <w:rPr>
          <w:spacing w:val="-4"/>
          <w:u w:val="single"/>
        </w:rPr>
        <w:t>Gaps</w:t>
      </w:r>
    </w:p>
    <w:p w14:paraId="2300E76A">
      <w:pPr>
        <w:spacing w:before="0"/>
        <w:ind w:left="360" w:right="0" w:firstLine="0"/>
        <w:jc w:val="both"/>
        <w:rPr>
          <w:b/>
          <w:sz w:val="24"/>
        </w:rPr>
      </w:pPr>
      <w:r>
        <w:rPr>
          <w:b/>
          <w:sz w:val="24"/>
        </w:rPr>
        <w:t>Vector</w:t>
      </w:r>
      <w:r>
        <w:rPr>
          <w:b/>
          <w:spacing w:val="-5"/>
          <w:sz w:val="24"/>
        </w:rPr>
        <w:t xml:space="preserve"> </w:t>
      </w:r>
      <w:r>
        <w:rPr>
          <w:b/>
          <w:sz w:val="24"/>
        </w:rPr>
        <w:t>1:</w:t>
      </w:r>
      <w:r>
        <w:rPr>
          <w:b/>
          <w:spacing w:val="-2"/>
          <w:sz w:val="24"/>
        </w:rPr>
        <w:t xml:space="preserve"> </w:t>
      </w:r>
      <w:r>
        <w:rPr>
          <w:b/>
          <w:sz w:val="24"/>
        </w:rPr>
        <w:t>The</w:t>
      </w:r>
      <w:r>
        <w:rPr>
          <w:b/>
          <w:spacing w:val="-2"/>
          <w:sz w:val="24"/>
        </w:rPr>
        <w:t xml:space="preserve"> </w:t>
      </w:r>
      <w:r>
        <w:rPr>
          <w:b/>
          <w:sz w:val="24"/>
        </w:rPr>
        <w:t>Militia</w:t>
      </w:r>
      <w:r>
        <w:rPr>
          <w:b/>
          <w:spacing w:val="-2"/>
          <w:sz w:val="24"/>
        </w:rPr>
        <w:t xml:space="preserve"> </w:t>
      </w:r>
      <w:r>
        <w:rPr>
          <w:b/>
          <w:sz w:val="24"/>
        </w:rPr>
        <w:t>Re-Makeup</w:t>
      </w:r>
      <w:r>
        <w:rPr>
          <w:b/>
          <w:spacing w:val="-2"/>
          <w:sz w:val="24"/>
        </w:rPr>
        <w:t xml:space="preserve"> </w:t>
      </w:r>
      <w:r>
        <w:rPr>
          <w:b/>
          <w:sz w:val="24"/>
        </w:rPr>
        <w:t>(Proxy</w:t>
      </w:r>
      <w:r>
        <w:rPr>
          <w:b/>
          <w:spacing w:val="-1"/>
          <w:sz w:val="24"/>
        </w:rPr>
        <w:t xml:space="preserve"> </w:t>
      </w:r>
      <w:r>
        <w:rPr>
          <w:b/>
          <w:sz w:val="24"/>
        </w:rPr>
        <w:t>to</w:t>
      </w:r>
      <w:r>
        <w:rPr>
          <w:b/>
          <w:spacing w:val="-2"/>
          <w:sz w:val="24"/>
        </w:rPr>
        <w:t xml:space="preserve"> </w:t>
      </w:r>
      <w:r>
        <w:rPr>
          <w:b/>
          <w:sz w:val="24"/>
        </w:rPr>
        <w:t xml:space="preserve">Sovereign </w:t>
      </w:r>
      <w:r>
        <w:rPr>
          <w:b/>
          <w:spacing w:val="-2"/>
          <w:sz w:val="24"/>
        </w:rPr>
        <w:t>Competitor)</w:t>
      </w:r>
    </w:p>
    <w:p w14:paraId="1CA05834">
      <w:pPr>
        <w:pStyle w:val="6"/>
        <w:ind w:left="360" w:right="355"/>
        <w:jc w:val="both"/>
      </w:pPr>
      <w:r>
        <w:t>The massive physical infrastructure of the Gezira Scheme, including industrial ginning mills, storage silos, and agricultural machinery, provides the exact material base required for armed groups to alter their structural makeup. Access to these harvestable assets allows groups like the Sudan Shield Forces (SSF), JEM splinters, and localized tribal armed groups to achieve financial self-sufficiency. By directly liquidating stored crops or seizing heavy machinery, these factions successfully cut their financial dependence on external macro-belligerents (SAF/RSF), transforming themselves from top-down state proxies into autonomous, sovereign competitors fighting for localized survival.</w:t>
      </w:r>
    </w:p>
    <w:p w14:paraId="4C193CC4">
      <w:pPr>
        <w:pStyle w:val="3"/>
        <w:spacing w:before="274"/>
        <w:jc w:val="both"/>
      </w:pPr>
      <w:r>
        <w:t>Vector</w:t>
      </w:r>
      <w:r>
        <w:rPr>
          <w:spacing w:val="-7"/>
        </w:rPr>
        <w:t xml:space="preserve"> </w:t>
      </w:r>
      <w:r>
        <w:t>2:</w:t>
      </w:r>
      <w:r>
        <w:rPr>
          <w:spacing w:val="-3"/>
        </w:rPr>
        <w:t xml:space="preserve"> </w:t>
      </w:r>
      <w:r>
        <w:t>The</w:t>
      </w:r>
      <w:r>
        <w:rPr>
          <w:spacing w:val="-4"/>
        </w:rPr>
        <w:t xml:space="preserve"> </w:t>
      </w:r>
      <w:r>
        <w:t>Hybrid</w:t>
      </w:r>
      <w:r>
        <w:rPr>
          <w:spacing w:val="-2"/>
        </w:rPr>
        <w:t xml:space="preserve"> </w:t>
      </w:r>
      <w:r>
        <w:t>Security</w:t>
      </w:r>
      <w:r>
        <w:rPr>
          <w:spacing w:val="-3"/>
        </w:rPr>
        <w:t xml:space="preserve"> </w:t>
      </w:r>
      <w:r>
        <w:t>Ecosystem</w:t>
      </w:r>
      <w:r>
        <w:rPr>
          <w:spacing w:val="-2"/>
        </w:rPr>
        <w:t xml:space="preserve"> </w:t>
      </w:r>
      <w:r>
        <w:t>(Blurred</w:t>
      </w:r>
      <w:r>
        <w:rPr>
          <w:spacing w:val="-3"/>
        </w:rPr>
        <w:t xml:space="preserve"> </w:t>
      </w:r>
      <w:r>
        <w:t>Institutional</w:t>
      </w:r>
      <w:r>
        <w:rPr>
          <w:spacing w:val="-3"/>
        </w:rPr>
        <w:t xml:space="preserve"> </w:t>
      </w:r>
      <w:r>
        <w:rPr>
          <w:spacing w:val="-2"/>
        </w:rPr>
        <w:t>Lines)</w:t>
      </w:r>
    </w:p>
    <w:p w14:paraId="30E0E4A3">
      <w:pPr>
        <w:pStyle w:val="6"/>
        <w:ind w:left="360" w:right="355"/>
        <w:jc w:val="both"/>
      </w:pPr>
      <w:r>
        <w:t>As formal state governance dissolved, the management of the Gezira Scheme's complex logistics fell into a deeply corrupted hybrid security space. Today, the lines between formal agricultural administrative boards, remnants of local police, and informal militia commands are entirely blurred. Armed factions do not merely occupy territory; they co-opt municipal crop-marketing boards, embed themselves within irrigation management committees, and establish joint checkpoint cartels with formal security actors. This hybridization institutionalizes militia presence, turning racketeering into a pseudo-legal administrative function.</w:t>
      </w:r>
    </w:p>
    <w:p w14:paraId="47C9FE46">
      <w:pPr>
        <w:pStyle w:val="6"/>
      </w:pPr>
    </w:p>
    <w:p w14:paraId="32C72C19">
      <w:pPr>
        <w:pStyle w:val="3"/>
        <w:jc w:val="both"/>
      </w:pPr>
      <w:r>
        <w:t>Vector</w:t>
      </w:r>
      <w:r>
        <w:rPr>
          <w:spacing w:val="-5"/>
        </w:rPr>
        <w:t xml:space="preserve"> </w:t>
      </w:r>
      <w:r>
        <w:t>3:</w:t>
      </w:r>
      <w:r>
        <w:rPr>
          <w:spacing w:val="-2"/>
        </w:rPr>
        <w:t xml:space="preserve"> </w:t>
      </w:r>
      <w:r>
        <w:t>Micro-Political</w:t>
      </w:r>
      <w:r>
        <w:rPr>
          <w:spacing w:val="-2"/>
        </w:rPr>
        <w:t xml:space="preserve"> </w:t>
      </w:r>
      <w:r>
        <w:t>Dynamics</w:t>
      </w:r>
      <w:r>
        <w:rPr>
          <w:spacing w:val="-3"/>
        </w:rPr>
        <w:t xml:space="preserve"> </w:t>
      </w:r>
      <w:r>
        <w:t>(The</w:t>
      </w:r>
      <w:r>
        <w:rPr>
          <w:spacing w:val="-3"/>
        </w:rPr>
        <w:t xml:space="preserve"> </w:t>
      </w:r>
      <w:r>
        <w:t>Localized</w:t>
      </w:r>
      <w:r>
        <w:rPr>
          <w:spacing w:val="-2"/>
        </w:rPr>
        <w:t xml:space="preserve"> </w:t>
      </w:r>
      <w:r>
        <w:t>Conflict</w:t>
      </w:r>
      <w:r>
        <w:rPr>
          <w:spacing w:val="-2"/>
        </w:rPr>
        <w:t xml:space="preserve"> Drivers)</w:t>
      </w:r>
    </w:p>
    <w:p w14:paraId="490F6055">
      <w:pPr>
        <w:pStyle w:val="6"/>
        <w:ind w:left="360" w:right="357"/>
        <w:jc w:val="both"/>
      </w:pPr>
      <w:r>
        <w:t>While macro-level analysis views Al-Gezira purely as a tactical transit corridor between Khartoum and the</w:t>
      </w:r>
      <w:r>
        <w:rPr>
          <w:spacing w:val="-3"/>
        </w:rPr>
        <w:t xml:space="preserve"> </w:t>
      </w:r>
      <w:r>
        <w:t>east,</w:t>
      </w:r>
      <w:r>
        <w:rPr>
          <w:spacing w:val="-3"/>
        </w:rPr>
        <w:t xml:space="preserve"> </w:t>
      </w:r>
      <w:r>
        <w:t>the</w:t>
      </w:r>
      <w:r>
        <w:rPr>
          <w:spacing w:val="-2"/>
        </w:rPr>
        <w:t xml:space="preserve"> </w:t>
      </w:r>
      <w:r>
        <w:t>true</w:t>
      </w:r>
      <w:r>
        <w:rPr>
          <w:spacing w:val="-2"/>
        </w:rPr>
        <w:t xml:space="preserve"> </w:t>
      </w:r>
      <w:r>
        <w:t>drivers of</w:t>
      </w:r>
      <w:r>
        <w:rPr>
          <w:spacing w:val="-3"/>
        </w:rPr>
        <w:t xml:space="preserve"> </w:t>
      </w:r>
      <w:r>
        <w:t>violence</w:t>
      </w:r>
      <w:r>
        <w:rPr>
          <w:spacing w:val="-2"/>
        </w:rPr>
        <w:t xml:space="preserve"> </w:t>
      </w:r>
      <w:r>
        <w:t>are</w:t>
      </w:r>
      <w:r>
        <w:rPr>
          <w:spacing w:val="-4"/>
        </w:rPr>
        <w:t xml:space="preserve"> </w:t>
      </w:r>
      <w:r>
        <w:t>hyper-localized</w:t>
      </w:r>
      <w:r>
        <w:rPr>
          <w:spacing w:val="-3"/>
        </w:rPr>
        <w:t xml:space="preserve"> </w:t>
      </w:r>
      <w:r>
        <w:t>and</w:t>
      </w:r>
      <w:r>
        <w:rPr>
          <w:spacing w:val="-1"/>
        </w:rPr>
        <w:t xml:space="preserve"> </w:t>
      </w:r>
      <w:r>
        <w:t>granular.</w:t>
      </w:r>
      <w:r>
        <w:rPr>
          <w:spacing w:val="-3"/>
        </w:rPr>
        <w:t xml:space="preserve"> </w:t>
      </w:r>
      <w:r>
        <w:t>The</w:t>
      </w:r>
      <w:r>
        <w:rPr>
          <w:spacing w:val="-2"/>
        </w:rPr>
        <w:t xml:space="preserve"> </w:t>
      </w:r>
      <w:r>
        <w:t>collapse</w:t>
      </w:r>
      <w:r>
        <w:rPr>
          <w:spacing w:val="-4"/>
        </w:rPr>
        <w:t xml:space="preserve"> </w:t>
      </w:r>
      <w:r>
        <w:t>of</w:t>
      </w:r>
      <w:r>
        <w:rPr>
          <w:spacing w:val="-2"/>
        </w:rPr>
        <w:t xml:space="preserve"> </w:t>
      </w:r>
      <w:r>
        <w:t>formal</w:t>
      </w:r>
      <w:r>
        <w:rPr>
          <w:spacing w:val="-1"/>
        </w:rPr>
        <w:t xml:space="preserve"> </w:t>
      </w:r>
      <w:r>
        <w:t>agricultural tenancy laws has reawakened historical micro-political grievances. Armed factions are actively capitalizing on village-level fractures, weaponizing long-standing land tenure disputes between traditional riverine landholders and historically marginalized migratory labor communities. By backing specific local families or ethnic blocs in zero-sum battles over canal water access and crop yields, militias elevate local frictions into existential tribal confrontations, permanently shattering the state's historic social fabric.</w:t>
      </w:r>
    </w:p>
    <w:p w14:paraId="7D5C0DDF">
      <w:pPr>
        <w:pStyle w:val="6"/>
        <w:spacing w:before="1"/>
      </w:pPr>
    </w:p>
    <w:p w14:paraId="62758FE8">
      <w:pPr>
        <w:pStyle w:val="3"/>
        <w:numPr>
          <w:ilvl w:val="0"/>
          <w:numId w:val="3"/>
        </w:numPr>
        <w:tabs>
          <w:tab w:val="left" w:pos="540"/>
        </w:tabs>
        <w:spacing w:before="0" w:after="0" w:line="240" w:lineRule="auto"/>
        <w:ind w:left="540" w:right="0" w:hanging="180"/>
        <w:jc w:val="both"/>
        <w:rPr>
          <w:u w:val="single"/>
        </w:rPr>
      </w:pPr>
      <w:r>
        <w:rPr>
          <w:u w:val="single"/>
        </w:rPr>
        <w:t xml:space="preserve"> ​</w:t>
      </w:r>
      <w:r>
        <w:rPr>
          <w:spacing w:val="-2"/>
          <w:u w:val="single"/>
        </w:rPr>
        <w:t>Methodology</w:t>
      </w:r>
    </w:p>
    <w:p w14:paraId="0771F0E8">
      <w:pPr>
        <w:pStyle w:val="6"/>
        <w:ind w:left="360" w:right="353"/>
        <w:jc w:val="both"/>
      </w:pPr>
      <w:r>
        <w:t>This study employs a localized, empirical research design to investigate the micro-political drivers, structural mutations, and conflict trajectories of militias in Al-Gezira State, Central Sudan. Departing from</w:t>
      </w:r>
      <w:r>
        <w:rPr>
          <w:spacing w:val="8"/>
        </w:rPr>
        <w:t xml:space="preserve"> </w:t>
      </w:r>
      <w:r>
        <w:t>traditional</w:t>
      </w:r>
      <w:r>
        <w:rPr>
          <w:spacing w:val="10"/>
        </w:rPr>
        <w:t xml:space="preserve"> </w:t>
      </w:r>
      <w:r>
        <w:t>macro-political</w:t>
      </w:r>
      <w:r>
        <w:rPr>
          <w:spacing w:val="11"/>
        </w:rPr>
        <w:t xml:space="preserve"> </w:t>
      </w:r>
      <w:r>
        <w:t>frameworks</w:t>
      </w:r>
      <w:r>
        <w:rPr>
          <w:spacing w:val="9"/>
        </w:rPr>
        <w:t xml:space="preserve"> </w:t>
      </w:r>
      <w:r>
        <w:t>that</w:t>
      </w:r>
      <w:r>
        <w:rPr>
          <w:spacing w:val="15"/>
        </w:rPr>
        <w:t xml:space="preserve"> </w:t>
      </w:r>
      <w:r>
        <w:t>reduce</w:t>
      </w:r>
      <w:r>
        <w:rPr>
          <w:spacing w:val="11"/>
        </w:rPr>
        <w:t xml:space="preserve"> </w:t>
      </w:r>
      <w:r>
        <w:t>militias</w:t>
      </w:r>
      <w:r>
        <w:rPr>
          <w:spacing w:val="10"/>
        </w:rPr>
        <w:t xml:space="preserve"> </w:t>
      </w:r>
      <w:r>
        <w:t>to</w:t>
      </w:r>
      <w:r>
        <w:rPr>
          <w:spacing w:val="11"/>
        </w:rPr>
        <w:t xml:space="preserve"> </w:t>
      </w:r>
      <w:r>
        <w:t>state</w:t>
      </w:r>
      <w:r>
        <w:rPr>
          <w:spacing w:val="10"/>
        </w:rPr>
        <w:t xml:space="preserve"> </w:t>
      </w:r>
      <w:r>
        <w:t>proxies,</w:t>
      </w:r>
      <w:r>
        <w:rPr>
          <w:spacing w:val="10"/>
        </w:rPr>
        <w:t xml:space="preserve"> </w:t>
      </w:r>
      <w:r>
        <w:t>this</w:t>
      </w:r>
      <w:r>
        <w:rPr>
          <w:spacing w:val="10"/>
        </w:rPr>
        <w:t xml:space="preserve"> </w:t>
      </w:r>
      <w:r>
        <w:t>approach</w:t>
      </w:r>
      <w:r>
        <w:rPr>
          <w:spacing w:val="12"/>
        </w:rPr>
        <w:t xml:space="preserve"> </w:t>
      </w:r>
      <w:r>
        <w:rPr>
          <w:spacing w:val="-2"/>
        </w:rPr>
        <w:t>captures</w:t>
      </w:r>
    </w:p>
    <w:p w14:paraId="45D4D546">
      <w:pPr>
        <w:pStyle w:val="6"/>
        <w:spacing w:after="0"/>
        <w:jc w:val="both"/>
        <w:sectPr>
          <w:pgSz w:w="12240" w:h="15840"/>
          <w:pgMar w:top="1360" w:right="720" w:bottom="1240" w:left="720" w:header="72" w:footer="966" w:gutter="0"/>
          <w:cols w:space="720" w:num="1"/>
        </w:sectPr>
      </w:pPr>
    </w:p>
    <w:p w14:paraId="43AB752A">
      <w:pPr>
        <w:pStyle w:val="6"/>
        <w:ind w:left="360" w:right="360"/>
        <w:jc w:val="both"/>
      </w:pPr>
      <w:r>
        <w:t>granular socio-economic shifts and horizontal rivalries. To address gaps in Sudan's conflict literature,</w:t>
      </w:r>
      <w:r>
        <w:rPr>
          <w:spacing w:val="40"/>
        </w:rPr>
        <w:t xml:space="preserve"> </w:t>
      </w:r>
      <w:r>
        <w:t>the analysis focuses on three core thematic vectors: the evolution of armed groups into autonomous sovereign competitors, the emerging hybrid security ecosystem, and localized micro-political dynamics.</w:t>
      </w:r>
    </w:p>
    <w:p w14:paraId="331DE35B">
      <w:pPr>
        <w:pStyle w:val="6"/>
        <w:ind w:left="360" w:right="358" w:firstLine="720"/>
        <w:jc w:val="both"/>
      </w:pPr>
      <w:r>
        <w:t>A mixed-methods approach was deployed across key localities in Al-Gezira State to capture diverse</w:t>
      </w:r>
      <w:r>
        <w:rPr>
          <w:spacing w:val="-3"/>
        </w:rPr>
        <w:t xml:space="preserve"> </w:t>
      </w:r>
      <w:r>
        <w:t>socioeconomic</w:t>
      </w:r>
      <w:r>
        <w:rPr>
          <w:spacing w:val="-3"/>
        </w:rPr>
        <w:t xml:space="preserve"> </w:t>
      </w:r>
      <w:r>
        <w:t>and</w:t>
      </w:r>
      <w:r>
        <w:rPr>
          <w:spacing w:val="-2"/>
        </w:rPr>
        <w:t xml:space="preserve"> </w:t>
      </w:r>
      <w:r>
        <w:t>tribal</w:t>
      </w:r>
      <w:r>
        <w:rPr>
          <w:spacing w:val="-2"/>
        </w:rPr>
        <w:t xml:space="preserve"> </w:t>
      </w:r>
      <w:r>
        <w:t>dynamics</w:t>
      </w:r>
      <w:r>
        <w:rPr>
          <w:spacing w:val="-2"/>
        </w:rPr>
        <w:t xml:space="preserve"> </w:t>
      </w:r>
      <w:r>
        <w:t>via</w:t>
      </w:r>
      <w:r>
        <w:rPr>
          <w:spacing w:val="-3"/>
        </w:rPr>
        <w:t xml:space="preserve"> </w:t>
      </w:r>
      <w:r>
        <w:t>field</w:t>
      </w:r>
      <w:r>
        <w:rPr>
          <w:spacing w:val="-2"/>
        </w:rPr>
        <w:t xml:space="preserve"> </w:t>
      </w:r>
      <w:r>
        <w:t>surveys</w:t>
      </w:r>
      <w:r>
        <w:rPr>
          <w:spacing w:val="-2"/>
        </w:rPr>
        <w:t xml:space="preserve"> </w:t>
      </w:r>
      <w:r>
        <w:t>and</w:t>
      </w:r>
      <w:r>
        <w:rPr>
          <w:spacing w:val="-2"/>
        </w:rPr>
        <w:t xml:space="preserve"> </w:t>
      </w:r>
      <w:r>
        <w:t>key</w:t>
      </w:r>
      <w:r>
        <w:rPr>
          <w:spacing w:val="-2"/>
        </w:rPr>
        <w:t xml:space="preserve"> </w:t>
      </w:r>
      <w:r>
        <w:t>informant</w:t>
      </w:r>
      <w:r>
        <w:rPr>
          <w:spacing w:val="-2"/>
        </w:rPr>
        <w:t xml:space="preserve"> </w:t>
      </w:r>
      <w:r>
        <w:t>interviews</w:t>
      </w:r>
      <w:r>
        <w:rPr>
          <w:spacing w:val="-3"/>
        </w:rPr>
        <w:t xml:space="preserve"> </w:t>
      </w:r>
      <w:r>
        <w:t>(KIIs).</w:t>
      </w:r>
      <w:r>
        <w:rPr>
          <w:spacing w:val="-3"/>
        </w:rPr>
        <w:t xml:space="preserve"> </w:t>
      </w:r>
      <w:r>
        <w:t>Future conflict trajectories are assessed using a scenario-planning matrix, mapping empirical data against three predictive models: the fragmentation trap matrix, the warlord cartel model, and the tribalized polarization path. Given the volatile security environment, strict ethical and risk-mitigation protocols were enforced. Respondents provided informed oral consent. To prevent institutional or militia retaliation, no identifying personal details, individual tribal affiliations, or exact geographic coordinates were recorded. All data were encrypted and decentralized immediately following field collection.</w:t>
      </w:r>
    </w:p>
    <w:p w14:paraId="175B0373">
      <w:pPr>
        <w:pStyle w:val="6"/>
        <w:spacing w:before="37"/>
      </w:pPr>
    </w:p>
    <w:p w14:paraId="6887F733">
      <w:pPr>
        <w:pStyle w:val="2"/>
        <w:numPr>
          <w:ilvl w:val="0"/>
          <w:numId w:val="3"/>
        </w:numPr>
        <w:tabs>
          <w:tab w:val="left" w:pos="570"/>
        </w:tabs>
        <w:spacing w:before="0" w:after="0" w:line="322" w:lineRule="exact"/>
        <w:ind w:left="570" w:right="0" w:hanging="210"/>
        <w:jc w:val="both"/>
        <w:rPr>
          <w:u w:val="single"/>
        </w:rPr>
      </w:pPr>
      <w:r>
        <w:rPr>
          <w:spacing w:val="-6"/>
          <w:u w:val="single"/>
        </w:rPr>
        <w:t xml:space="preserve"> </w:t>
      </w:r>
      <w:r>
        <w:rPr>
          <w:u w:val="single"/>
        </w:rPr>
        <w:t>Mapping</w:t>
      </w:r>
      <w:r>
        <w:rPr>
          <w:spacing w:val="-7"/>
          <w:u w:val="single"/>
        </w:rPr>
        <w:t xml:space="preserve"> </w:t>
      </w:r>
      <w:r>
        <w:rPr>
          <w:u w:val="single"/>
        </w:rPr>
        <w:t>Non-State</w:t>
      </w:r>
      <w:r>
        <w:rPr>
          <w:spacing w:val="-4"/>
          <w:u w:val="single"/>
        </w:rPr>
        <w:t xml:space="preserve"> </w:t>
      </w:r>
      <w:r>
        <w:rPr>
          <w:u w:val="single"/>
        </w:rPr>
        <w:t>Armed</w:t>
      </w:r>
      <w:r>
        <w:rPr>
          <w:spacing w:val="-7"/>
          <w:u w:val="single"/>
        </w:rPr>
        <w:t xml:space="preserve"> </w:t>
      </w:r>
      <w:r>
        <w:rPr>
          <w:u w:val="single"/>
        </w:rPr>
        <w:t>Factions</w:t>
      </w:r>
      <w:r>
        <w:rPr>
          <w:spacing w:val="-3"/>
          <w:u w:val="single"/>
        </w:rPr>
        <w:t xml:space="preserve"> </w:t>
      </w:r>
      <w:r>
        <w:rPr>
          <w:u w:val="single"/>
        </w:rPr>
        <w:t>in</w:t>
      </w:r>
      <w:r>
        <w:rPr>
          <w:spacing w:val="-4"/>
          <w:u w:val="single"/>
        </w:rPr>
        <w:t xml:space="preserve"> </w:t>
      </w:r>
      <w:r>
        <w:rPr>
          <w:u w:val="single"/>
        </w:rPr>
        <w:t>Al-Gezira</w:t>
      </w:r>
      <w:r>
        <w:rPr>
          <w:spacing w:val="-3"/>
          <w:u w:val="single"/>
        </w:rPr>
        <w:t xml:space="preserve"> </w:t>
      </w:r>
      <w:r>
        <w:rPr>
          <w:spacing w:val="-2"/>
          <w:u w:val="single"/>
        </w:rPr>
        <w:t>State</w:t>
      </w:r>
    </w:p>
    <w:p w14:paraId="685398A3">
      <w:pPr>
        <w:pStyle w:val="6"/>
        <w:ind w:left="360" w:right="356"/>
        <w:jc w:val="both"/>
      </w:pPr>
      <w:r>
        <w:t>The security landscape in Al-Gezira State is defined by a complex array of hybrid and non-state armed groups whose local dynamics are often obscured by binary national frameworks. While macro-level analyses tend to frame these factions solely as subsidiaries of either the SAF or the RSF, a systematic mapping reveals that each group maintains its own distinct institutional origins, localized recruitment networks, and independent socio-economic incentives.</w:t>
      </w:r>
    </w:p>
    <w:p w14:paraId="7A31664B">
      <w:pPr>
        <w:pStyle w:val="6"/>
        <w:spacing w:before="275"/>
      </w:pPr>
    </w:p>
    <w:p w14:paraId="628EC9A5">
      <w:pPr>
        <w:pStyle w:val="3"/>
        <w:spacing w:before="1"/>
        <w:ind w:left="1087"/>
      </w:pPr>
      <w:r>
        <w:t>Table</w:t>
      </w:r>
      <w:r>
        <w:rPr>
          <w:spacing w:val="-4"/>
        </w:rPr>
        <w:t xml:space="preserve"> </w:t>
      </w:r>
      <w:r>
        <w:t>1:</w:t>
      </w:r>
      <w:r>
        <w:rPr>
          <w:spacing w:val="-4"/>
        </w:rPr>
        <w:t xml:space="preserve"> </w:t>
      </w:r>
      <w:r>
        <w:t>Major</w:t>
      </w:r>
      <w:r>
        <w:rPr>
          <w:spacing w:val="-4"/>
        </w:rPr>
        <w:t xml:space="preserve"> </w:t>
      </w:r>
      <w:r>
        <w:t>Military</w:t>
      </w:r>
      <w:r>
        <w:rPr>
          <w:spacing w:val="-2"/>
        </w:rPr>
        <w:t xml:space="preserve"> </w:t>
      </w:r>
      <w:r>
        <w:t>and</w:t>
      </w:r>
      <w:r>
        <w:rPr>
          <w:spacing w:val="-1"/>
        </w:rPr>
        <w:t xml:space="preserve"> </w:t>
      </w:r>
      <w:r>
        <w:t>Paramilitary</w:t>
      </w:r>
      <w:r>
        <w:rPr>
          <w:spacing w:val="-2"/>
        </w:rPr>
        <w:t xml:space="preserve"> </w:t>
      </w:r>
      <w:r>
        <w:t>Entities</w:t>
      </w:r>
      <w:r>
        <w:rPr>
          <w:spacing w:val="-3"/>
        </w:rPr>
        <w:t xml:space="preserve"> </w:t>
      </w:r>
      <w:r>
        <w:t>Operating</w:t>
      </w:r>
      <w:r>
        <w:rPr>
          <w:spacing w:val="-2"/>
        </w:rPr>
        <w:t xml:space="preserve"> </w:t>
      </w:r>
      <w:r>
        <w:t>within</w:t>
      </w:r>
      <w:r>
        <w:rPr>
          <w:spacing w:val="-1"/>
        </w:rPr>
        <w:t xml:space="preserve"> </w:t>
      </w:r>
      <w:r>
        <w:t>Al-Gezira</w:t>
      </w:r>
      <w:r>
        <w:rPr>
          <w:spacing w:val="-1"/>
        </w:rPr>
        <w:t xml:space="preserve"> </w:t>
      </w:r>
      <w:r>
        <w:rPr>
          <w:spacing w:val="-2"/>
        </w:rPr>
        <w:t>State</w:t>
      </w:r>
    </w:p>
    <w:p w14:paraId="72945A93">
      <w:pPr>
        <w:pStyle w:val="6"/>
        <w:spacing w:before="46"/>
        <w:rPr>
          <w:b/>
          <w:sz w:val="20"/>
        </w:rPr>
      </w:pPr>
    </w:p>
    <w:tbl>
      <w:tblPr>
        <w:tblStyle w:val="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9"/>
        <w:gridCol w:w="2976"/>
        <w:gridCol w:w="4395"/>
      </w:tblGrid>
      <w:tr w14:paraId="61ECC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979" w:type="dxa"/>
          </w:tcPr>
          <w:p w14:paraId="6CDC1B36">
            <w:pPr>
              <w:pStyle w:val="11"/>
              <w:spacing w:line="251" w:lineRule="exact"/>
              <w:ind w:left="893"/>
              <w:rPr>
                <w:b/>
                <w:sz w:val="22"/>
              </w:rPr>
            </w:pPr>
            <w:r>
              <w:rPr>
                <w:b/>
                <w:sz w:val="22"/>
              </w:rPr>
              <w:t>Entity</w:t>
            </w:r>
            <w:r>
              <w:rPr>
                <w:b/>
                <w:spacing w:val="-2"/>
                <w:sz w:val="22"/>
              </w:rPr>
              <w:t xml:space="preserve"> </w:t>
            </w:r>
            <w:r>
              <w:rPr>
                <w:b/>
                <w:spacing w:val="-4"/>
                <w:sz w:val="22"/>
              </w:rPr>
              <w:t>Name</w:t>
            </w:r>
          </w:p>
        </w:tc>
        <w:tc>
          <w:tcPr>
            <w:tcW w:w="2976" w:type="dxa"/>
          </w:tcPr>
          <w:p w14:paraId="74B469B3">
            <w:pPr>
              <w:pStyle w:val="11"/>
              <w:spacing w:line="252" w:lineRule="exact"/>
              <w:ind w:left="458" w:hanging="291"/>
              <w:rPr>
                <w:b/>
                <w:sz w:val="22"/>
              </w:rPr>
            </w:pPr>
            <w:r>
              <w:rPr>
                <w:b/>
                <w:sz w:val="22"/>
              </w:rPr>
              <w:t>Tribal</w:t>
            </w:r>
            <w:r>
              <w:rPr>
                <w:b/>
                <w:spacing w:val="-14"/>
                <w:sz w:val="22"/>
              </w:rPr>
              <w:t xml:space="preserve"> </w:t>
            </w:r>
            <w:r>
              <w:rPr>
                <w:b/>
                <w:sz w:val="22"/>
              </w:rPr>
              <w:t>Component,</w:t>
            </w:r>
            <w:r>
              <w:rPr>
                <w:b/>
                <w:spacing w:val="-14"/>
                <w:sz w:val="22"/>
              </w:rPr>
              <w:t xml:space="preserve"> </w:t>
            </w:r>
            <w:r>
              <w:rPr>
                <w:b/>
                <w:sz w:val="22"/>
              </w:rPr>
              <w:t>Political Structure, &amp; Ideology</w:t>
            </w:r>
          </w:p>
        </w:tc>
        <w:tc>
          <w:tcPr>
            <w:tcW w:w="4395" w:type="dxa"/>
          </w:tcPr>
          <w:p w14:paraId="2BB90987">
            <w:pPr>
              <w:pStyle w:val="11"/>
              <w:spacing w:line="252" w:lineRule="exact"/>
              <w:ind w:left="576" w:hanging="291"/>
              <w:rPr>
                <w:b/>
                <w:sz w:val="22"/>
              </w:rPr>
            </w:pPr>
            <w:r>
              <w:rPr>
                <w:b/>
                <w:sz w:val="22"/>
              </w:rPr>
              <w:t>Social</w:t>
            </w:r>
            <w:r>
              <w:rPr>
                <w:b/>
                <w:spacing w:val="-7"/>
                <w:sz w:val="22"/>
              </w:rPr>
              <w:t xml:space="preserve"> </w:t>
            </w:r>
            <w:r>
              <w:rPr>
                <w:b/>
                <w:sz w:val="22"/>
              </w:rPr>
              <w:t>Center</w:t>
            </w:r>
            <w:r>
              <w:rPr>
                <w:b/>
                <w:spacing w:val="-8"/>
                <w:sz w:val="22"/>
              </w:rPr>
              <w:t xml:space="preserve"> </w:t>
            </w:r>
            <w:r>
              <w:rPr>
                <w:b/>
                <w:sz w:val="22"/>
              </w:rPr>
              <w:t>of</w:t>
            </w:r>
            <w:r>
              <w:rPr>
                <w:b/>
                <w:spacing w:val="-10"/>
                <w:sz w:val="22"/>
              </w:rPr>
              <w:t xml:space="preserve"> </w:t>
            </w:r>
            <w:r>
              <w:rPr>
                <w:b/>
                <w:sz w:val="22"/>
              </w:rPr>
              <w:t>Gravity,</w:t>
            </w:r>
            <w:r>
              <w:rPr>
                <w:b/>
                <w:spacing w:val="-11"/>
                <w:sz w:val="22"/>
              </w:rPr>
              <w:t xml:space="preserve"> </w:t>
            </w:r>
            <w:r>
              <w:rPr>
                <w:b/>
                <w:sz w:val="22"/>
              </w:rPr>
              <w:t>Administrative Structures, &amp; Recruitment Camps</w:t>
            </w:r>
          </w:p>
        </w:tc>
      </w:tr>
      <w:tr w14:paraId="38921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0" w:hRule="atLeast"/>
        </w:trPr>
        <w:tc>
          <w:tcPr>
            <w:tcW w:w="2979" w:type="dxa"/>
          </w:tcPr>
          <w:p w14:paraId="35136313">
            <w:pPr>
              <w:pStyle w:val="11"/>
              <w:rPr>
                <w:b/>
                <w:sz w:val="20"/>
              </w:rPr>
            </w:pPr>
            <w:r>
              <w:rPr>
                <w:sz w:val="20"/>
              </w:rPr>
              <w:t>Sudan</w:t>
            </w:r>
            <w:r>
              <w:rPr>
                <w:spacing w:val="-3"/>
                <w:sz w:val="20"/>
              </w:rPr>
              <w:t xml:space="preserve"> </w:t>
            </w:r>
            <w:r>
              <w:rPr>
                <w:sz w:val="20"/>
              </w:rPr>
              <w:t>Shield</w:t>
            </w:r>
            <w:r>
              <w:rPr>
                <w:spacing w:val="-4"/>
                <w:sz w:val="20"/>
              </w:rPr>
              <w:t xml:space="preserve"> </w:t>
            </w:r>
            <w:r>
              <w:rPr>
                <w:sz w:val="20"/>
              </w:rPr>
              <w:t>Forces</w:t>
            </w:r>
            <w:r>
              <w:rPr>
                <w:spacing w:val="-6"/>
                <w:sz w:val="20"/>
              </w:rPr>
              <w:t xml:space="preserve"> </w:t>
            </w:r>
            <w:r>
              <w:rPr>
                <w:spacing w:val="-4"/>
                <w:sz w:val="20"/>
              </w:rPr>
              <w:t>(SSF</w:t>
            </w:r>
            <w:r>
              <w:rPr>
                <w:b/>
                <w:spacing w:val="-4"/>
                <w:sz w:val="20"/>
              </w:rPr>
              <w:t>)</w:t>
            </w:r>
          </w:p>
        </w:tc>
        <w:tc>
          <w:tcPr>
            <w:tcW w:w="2976" w:type="dxa"/>
          </w:tcPr>
          <w:p w14:paraId="37B3B10E">
            <w:pPr>
              <w:pStyle w:val="11"/>
              <w:ind w:left="108" w:right="93"/>
              <w:jc w:val="both"/>
              <w:rPr>
                <w:sz w:val="20"/>
              </w:rPr>
            </w:pPr>
            <w:r>
              <w:rPr>
                <w:sz w:val="20"/>
              </w:rPr>
              <w:t>Dominated by the Shukriya clan; membership includes affiliates of the dissolved National Congress Party (NCP). Some leadership figures</w:t>
            </w:r>
            <w:r>
              <w:rPr>
                <w:spacing w:val="-3"/>
                <w:sz w:val="20"/>
              </w:rPr>
              <w:t xml:space="preserve"> </w:t>
            </w:r>
            <w:r>
              <w:rPr>
                <w:sz w:val="20"/>
              </w:rPr>
              <w:t>are</w:t>
            </w:r>
            <w:r>
              <w:rPr>
                <w:spacing w:val="-2"/>
                <w:sz w:val="20"/>
              </w:rPr>
              <w:t xml:space="preserve"> </w:t>
            </w:r>
            <w:r>
              <w:rPr>
                <w:sz w:val="20"/>
              </w:rPr>
              <w:t>subject</w:t>
            </w:r>
            <w:r>
              <w:rPr>
                <w:spacing w:val="-2"/>
                <w:sz w:val="20"/>
              </w:rPr>
              <w:t xml:space="preserve"> </w:t>
            </w:r>
            <w:r>
              <w:rPr>
                <w:sz w:val="20"/>
              </w:rPr>
              <w:t>to</w:t>
            </w:r>
            <w:r>
              <w:rPr>
                <w:spacing w:val="-3"/>
                <w:sz w:val="20"/>
              </w:rPr>
              <w:t xml:space="preserve"> </w:t>
            </w:r>
            <w:r>
              <w:rPr>
                <w:sz w:val="20"/>
              </w:rPr>
              <w:t xml:space="preserve">international </w:t>
            </w:r>
            <w:r>
              <w:rPr>
                <w:spacing w:val="-2"/>
                <w:sz w:val="20"/>
              </w:rPr>
              <w:t>sanctions.</w:t>
            </w:r>
          </w:p>
        </w:tc>
        <w:tc>
          <w:tcPr>
            <w:tcW w:w="4395" w:type="dxa"/>
          </w:tcPr>
          <w:p w14:paraId="0B7FADD5">
            <w:pPr>
              <w:pStyle w:val="11"/>
              <w:ind w:left="108" w:right="93"/>
              <w:jc w:val="both"/>
              <w:rPr>
                <w:sz w:val="20"/>
              </w:rPr>
            </w:pPr>
            <w:r>
              <w:rPr>
                <w:sz w:val="20"/>
              </w:rPr>
              <w:t>Extensive presence across the state. Key administrative hubs include Wad Madani, Al-Hasahisa, Abu Ushar, Al-Hilaliya, and Al-Kamilin. Dense</w:t>
            </w:r>
            <w:r>
              <w:rPr>
                <w:spacing w:val="-2"/>
                <w:sz w:val="20"/>
              </w:rPr>
              <w:t xml:space="preserve"> </w:t>
            </w:r>
            <w:r>
              <w:rPr>
                <w:sz w:val="20"/>
              </w:rPr>
              <w:t>presence</w:t>
            </w:r>
            <w:r>
              <w:rPr>
                <w:spacing w:val="-4"/>
                <w:sz w:val="20"/>
              </w:rPr>
              <w:t xml:space="preserve"> </w:t>
            </w:r>
            <w:r>
              <w:rPr>
                <w:sz w:val="20"/>
              </w:rPr>
              <w:t>in</w:t>
            </w:r>
            <w:r>
              <w:rPr>
                <w:spacing w:val="-2"/>
                <w:sz w:val="20"/>
              </w:rPr>
              <w:t xml:space="preserve"> </w:t>
            </w:r>
            <w:r>
              <w:rPr>
                <w:sz w:val="20"/>
              </w:rPr>
              <w:t>eastern</w:t>
            </w:r>
            <w:r>
              <w:rPr>
                <w:spacing w:val="-4"/>
                <w:sz w:val="20"/>
              </w:rPr>
              <w:t xml:space="preserve"> </w:t>
            </w:r>
            <w:r>
              <w:rPr>
                <w:sz w:val="20"/>
              </w:rPr>
              <w:t>Gezira</w:t>
            </w:r>
            <w:r>
              <w:rPr>
                <w:spacing w:val="-2"/>
                <w:sz w:val="20"/>
              </w:rPr>
              <w:t xml:space="preserve"> </w:t>
            </w:r>
            <w:r>
              <w:rPr>
                <w:sz w:val="20"/>
              </w:rPr>
              <w:t>(Rufa'a,</w:t>
            </w:r>
            <w:r>
              <w:rPr>
                <w:spacing w:val="-2"/>
                <w:sz w:val="20"/>
              </w:rPr>
              <w:t xml:space="preserve"> </w:t>
            </w:r>
            <w:r>
              <w:rPr>
                <w:sz w:val="20"/>
              </w:rPr>
              <w:t>Tamboul, Umm Qura) and Al-Huda (Al-Manaqil). Operates a military command and training center at Jabal Al-Labator,</w:t>
            </w:r>
            <w:r>
              <w:rPr>
                <w:spacing w:val="26"/>
                <w:sz w:val="20"/>
              </w:rPr>
              <w:t xml:space="preserve"> </w:t>
            </w:r>
            <w:r>
              <w:rPr>
                <w:sz w:val="20"/>
              </w:rPr>
              <w:t>with</w:t>
            </w:r>
            <w:r>
              <w:rPr>
                <w:spacing w:val="25"/>
                <w:sz w:val="20"/>
              </w:rPr>
              <w:t xml:space="preserve"> </w:t>
            </w:r>
            <w:r>
              <w:rPr>
                <w:sz w:val="20"/>
              </w:rPr>
              <w:t>additional</w:t>
            </w:r>
            <w:r>
              <w:rPr>
                <w:spacing w:val="25"/>
                <w:sz w:val="20"/>
              </w:rPr>
              <w:t xml:space="preserve"> </w:t>
            </w:r>
            <w:r>
              <w:rPr>
                <w:sz w:val="20"/>
              </w:rPr>
              <w:t>camps</w:t>
            </w:r>
            <w:r>
              <w:rPr>
                <w:spacing w:val="26"/>
                <w:sz w:val="20"/>
              </w:rPr>
              <w:t xml:space="preserve"> </w:t>
            </w:r>
            <w:r>
              <w:rPr>
                <w:sz w:val="20"/>
              </w:rPr>
              <w:t>in</w:t>
            </w:r>
            <w:r>
              <w:rPr>
                <w:spacing w:val="27"/>
                <w:sz w:val="20"/>
              </w:rPr>
              <w:t xml:space="preserve"> </w:t>
            </w:r>
            <w:r>
              <w:rPr>
                <w:sz w:val="20"/>
              </w:rPr>
              <w:t>Al-Hilaliya</w:t>
            </w:r>
            <w:r>
              <w:rPr>
                <w:spacing w:val="26"/>
                <w:sz w:val="20"/>
              </w:rPr>
              <w:t xml:space="preserve"> </w:t>
            </w:r>
            <w:r>
              <w:rPr>
                <w:spacing w:val="-5"/>
                <w:sz w:val="20"/>
              </w:rPr>
              <w:t>and</w:t>
            </w:r>
          </w:p>
          <w:p w14:paraId="27EE5A8F">
            <w:pPr>
              <w:pStyle w:val="11"/>
              <w:spacing w:before="1" w:line="210" w:lineRule="exact"/>
              <w:ind w:left="108"/>
              <w:jc w:val="both"/>
              <w:rPr>
                <w:sz w:val="20"/>
              </w:rPr>
            </w:pPr>
            <w:r>
              <w:rPr>
                <w:sz w:val="20"/>
              </w:rPr>
              <w:t>Umm</w:t>
            </w:r>
            <w:r>
              <w:rPr>
                <w:spacing w:val="-3"/>
                <w:sz w:val="20"/>
              </w:rPr>
              <w:t xml:space="preserve"> </w:t>
            </w:r>
            <w:r>
              <w:rPr>
                <w:spacing w:val="-4"/>
                <w:sz w:val="20"/>
              </w:rPr>
              <w:t>Qura</w:t>
            </w:r>
          </w:p>
        </w:tc>
      </w:tr>
      <w:tr w14:paraId="0A419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2979" w:type="dxa"/>
          </w:tcPr>
          <w:p w14:paraId="45FF795D">
            <w:pPr>
              <w:pStyle w:val="11"/>
              <w:rPr>
                <w:sz w:val="20"/>
              </w:rPr>
            </w:pPr>
            <w:r>
              <w:rPr>
                <w:sz w:val="20"/>
              </w:rPr>
              <w:t>Justice</w:t>
            </w:r>
            <w:r>
              <w:rPr>
                <w:spacing w:val="40"/>
                <w:sz w:val="20"/>
              </w:rPr>
              <w:t xml:space="preserve"> </w:t>
            </w:r>
            <w:r>
              <w:rPr>
                <w:sz w:val="20"/>
              </w:rPr>
              <w:t>and</w:t>
            </w:r>
            <w:r>
              <w:rPr>
                <w:spacing w:val="40"/>
                <w:sz w:val="20"/>
              </w:rPr>
              <w:t xml:space="preserve"> </w:t>
            </w:r>
            <w:r>
              <w:rPr>
                <w:sz w:val="20"/>
              </w:rPr>
              <w:t>Equality</w:t>
            </w:r>
            <w:r>
              <w:rPr>
                <w:spacing w:val="40"/>
                <w:sz w:val="20"/>
              </w:rPr>
              <w:t xml:space="preserve"> </w:t>
            </w:r>
            <w:r>
              <w:rPr>
                <w:sz w:val="20"/>
              </w:rPr>
              <w:t>Movement (JEM) – Splinter Factions</w:t>
            </w:r>
          </w:p>
        </w:tc>
        <w:tc>
          <w:tcPr>
            <w:tcW w:w="2976" w:type="dxa"/>
          </w:tcPr>
          <w:p w14:paraId="2C125C07">
            <w:pPr>
              <w:pStyle w:val="11"/>
              <w:ind w:left="108" w:right="96"/>
              <w:jc w:val="both"/>
              <w:rPr>
                <w:sz w:val="20"/>
              </w:rPr>
            </w:pPr>
            <w:r>
              <w:rPr>
                <w:sz w:val="20"/>
              </w:rPr>
              <w:t>Predominantly composed of the Zaghawa ethnic group; several high-ranking leaders maintain</w:t>
            </w:r>
            <w:r>
              <w:rPr>
                <w:spacing w:val="40"/>
                <w:sz w:val="20"/>
              </w:rPr>
              <w:t xml:space="preserve"> </w:t>
            </w:r>
            <w:r>
              <w:rPr>
                <w:sz w:val="20"/>
              </w:rPr>
              <w:t>past or present ties to the NCP.</w:t>
            </w:r>
          </w:p>
        </w:tc>
        <w:tc>
          <w:tcPr>
            <w:tcW w:w="4395" w:type="dxa"/>
          </w:tcPr>
          <w:p w14:paraId="28204F8A">
            <w:pPr>
              <w:pStyle w:val="11"/>
              <w:ind w:left="108" w:right="93"/>
              <w:jc w:val="both"/>
              <w:rPr>
                <w:sz w:val="20"/>
              </w:rPr>
            </w:pPr>
            <w:r>
              <w:rPr>
                <w:sz w:val="20"/>
              </w:rPr>
              <w:t>Maintains administrative offices in Wad Madani, Rufa’a, Al-Hasahisa, and the Al-Huda Administrative Unit (Al-Manaqil). Footprint extends across local towns and villages via</w:t>
            </w:r>
            <w:r>
              <w:rPr>
                <w:spacing w:val="40"/>
                <w:sz w:val="20"/>
              </w:rPr>
              <w:t xml:space="preserve"> </w:t>
            </w:r>
            <w:r>
              <w:rPr>
                <w:sz w:val="20"/>
              </w:rPr>
              <w:t>localized</w:t>
            </w:r>
            <w:r>
              <w:rPr>
                <w:spacing w:val="-4"/>
                <w:sz w:val="20"/>
              </w:rPr>
              <w:t xml:space="preserve"> </w:t>
            </w:r>
            <w:r>
              <w:rPr>
                <w:sz w:val="20"/>
              </w:rPr>
              <w:t>settlement</w:t>
            </w:r>
            <w:r>
              <w:rPr>
                <w:spacing w:val="-5"/>
                <w:sz w:val="20"/>
              </w:rPr>
              <w:t xml:space="preserve"> </w:t>
            </w:r>
            <w:r>
              <w:rPr>
                <w:sz w:val="20"/>
              </w:rPr>
              <w:t>camps,</w:t>
            </w:r>
            <w:r>
              <w:rPr>
                <w:spacing w:val="-4"/>
                <w:sz w:val="20"/>
              </w:rPr>
              <w:t xml:space="preserve"> </w:t>
            </w:r>
            <w:r>
              <w:rPr>
                <w:sz w:val="20"/>
              </w:rPr>
              <w:t>notably</w:t>
            </w:r>
            <w:r>
              <w:rPr>
                <w:spacing w:val="-4"/>
                <w:sz w:val="20"/>
              </w:rPr>
              <w:t xml:space="preserve"> </w:t>
            </w:r>
            <w:r>
              <w:rPr>
                <w:sz w:val="20"/>
              </w:rPr>
              <w:t>the</w:t>
            </w:r>
            <w:r>
              <w:rPr>
                <w:spacing w:val="-4"/>
                <w:sz w:val="20"/>
              </w:rPr>
              <w:t xml:space="preserve"> </w:t>
            </w:r>
            <w:r>
              <w:rPr>
                <w:sz w:val="20"/>
              </w:rPr>
              <w:t>South</w:t>
            </w:r>
            <w:r>
              <w:rPr>
                <w:spacing w:val="-4"/>
                <w:sz w:val="20"/>
              </w:rPr>
              <w:t xml:space="preserve"> </w:t>
            </w:r>
            <w:r>
              <w:rPr>
                <w:spacing w:val="-5"/>
                <w:sz w:val="20"/>
              </w:rPr>
              <w:t>Umm</w:t>
            </w:r>
          </w:p>
          <w:p w14:paraId="3CE6B237">
            <w:pPr>
              <w:pStyle w:val="11"/>
              <w:spacing w:line="209" w:lineRule="exact"/>
              <w:ind w:left="108"/>
              <w:jc w:val="both"/>
              <w:rPr>
                <w:sz w:val="20"/>
              </w:rPr>
            </w:pPr>
            <w:r>
              <w:rPr>
                <w:sz w:val="20"/>
              </w:rPr>
              <w:t>Al-Qura</w:t>
            </w:r>
            <w:r>
              <w:rPr>
                <w:spacing w:val="-5"/>
                <w:sz w:val="20"/>
              </w:rPr>
              <w:t xml:space="preserve"> </w:t>
            </w:r>
            <w:r>
              <w:rPr>
                <w:sz w:val="20"/>
              </w:rPr>
              <w:t>camp</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Al-Kanabi</w:t>
            </w:r>
            <w:r>
              <w:rPr>
                <w:spacing w:val="-6"/>
                <w:sz w:val="20"/>
              </w:rPr>
              <w:t xml:space="preserve"> </w:t>
            </w:r>
            <w:r>
              <w:rPr>
                <w:sz w:val="20"/>
              </w:rPr>
              <w:t>training</w:t>
            </w:r>
            <w:r>
              <w:rPr>
                <w:spacing w:val="-5"/>
                <w:sz w:val="20"/>
              </w:rPr>
              <w:t xml:space="preserve"> </w:t>
            </w:r>
            <w:r>
              <w:rPr>
                <w:spacing w:val="-2"/>
                <w:sz w:val="20"/>
              </w:rPr>
              <w:t>facility.</w:t>
            </w:r>
          </w:p>
        </w:tc>
      </w:tr>
      <w:tr w14:paraId="18977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2979" w:type="dxa"/>
          </w:tcPr>
          <w:p w14:paraId="345CE7A9">
            <w:pPr>
              <w:pStyle w:val="11"/>
              <w:spacing w:line="251" w:lineRule="exact"/>
              <w:rPr>
                <w:sz w:val="22"/>
              </w:rPr>
            </w:pPr>
            <w:r>
              <w:rPr>
                <w:sz w:val="22"/>
              </w:rPr>
              <w:t>Sudanese</w:t>
            </w:r>
            <w:r>
              <w:rPr>
                <w:spacing w:val="-6"/>
                <w:sz w:val="22"/>
              </w:rPr>
              <w:t xml:space="preserve"> </w:t>
            </w:r>
            <w:r>
              <w:rPr>
                <w:sz w:val="22"/>
              </w:rPr>
              <w:t>Alliance</w:t>
            </w:r>
            <w:r>
              <w:rPr>
                <w:spacing w:val="-6"/>
                <w:sz w:val="22"/>
              </w:rPr>
              <w:t xml:space="preserve"> </w:t>
            </w:r>
            <w:r>
              <w:rPr>
                <w:spacing w:val="-2"/>
                <w:sz w:val="22"/>
              </w:rPr>
              <w:t>Forces</w:t>
            </w:r>
          </w:p>
        </w:tc>
        <w:tc>
          <w:tcPr>
            <w:tcW w:w="2976" w:type="dxa"/>
          </w:tcPr>
          <w:p w14:paraId="29F7E237">
            <w:pPr>
              <w:pStyle w:val="11"/>
              <w:ind w:left="108" w:right="92"/>
              <w:jc w:val="both"/>
              <w:rPr>
                <w:sz w:val="22"/>
              </w:rPr>
            </w:pPr>
            <w:r>
              <w:rPr>
                <w:sz w:val="22"/>
              </w:rPr>
              <w:t>Majority belong to the Fur tribe; it maintains direct operational</w:t>
            </w:r>
            <w:r>
              <w:rPr>
                <w:spacing w:val="64"/>
                <w:w w:val="150"/>
                <w:sz w:val="22"/>
              </w:rPr>
              <w:t xml:space="preserve"> </w:t>
            </w:r>
            <w:r>
              <w:rPr>
                <w:sz w:val="22"/>
              </w:rPr>
              <w:t>links</w:t>
            </w:r>
            <w:r>
              <w:rPr>
                <w:spacing w:val="65"/>
                <w:w w:val="150"/>
                <w:sz w:val="22"/>
              </w:rPr>
              <w:t xml:space="preserve"> </w:t>
            </w:r>
            <w:r>
              <w:rPr>
                <w:sz w:val="22"/>
              </w:rPr>
              <w:t>to</w:t>
            </w:r>
            <w:r>
              <w:rPr>
                <w:spacing w:val="64"/>
                <w:w w:val="150"/>
                <w:sz w:val="22"/>
              </w:rPr>
              <w:t xml:space="preserve"> </w:t>
            </w:r>
            <w:r>
              <w:rPr>
                <w:spacing w:val="-2"/>
                <w:sz w:val="22"/>
              </w:rPr>
              <w:t>Military</w:t>
            </w:r>
          </w:p>
          <w:p w14:paraId="74AD6087">
            <w:pPr>
              <w:pStyle w:val="11"/>
              <w:spacing w:line="233" w:lineRule="exact"/>
              <w:ind w:left="108"/>
              <w:rPr>
                <w:sz w:val="22"/>
              </w:rPr>
            </w:pPr>
            <w:r>
              <w:rPr>
                <w:spacing w:val="-2"/>
                <w:sz w:val="22"/>
              </w:rPr>
              <w:t>Intelligence.</w:t>
            </w:r>
          </w:p>
        </w:tc>
        <w:tc>
          <w:tcPr>
            <w:tcW w:w="4395" w:type="dxa"/>
          </w:tcPr>
          <w:p w14:paraId="4B689071">
            <w:pPr>
              <w:pStyle w:val="11"/>
              <w:ind w:left="108"/>
              <w:rPr>
                <w:sz w:val="22"/>
              </w:rPr>
            </w:pPr>
            <w:r>
              <w:rPr>
                <w:sz w:val="22"/>
              </w:rPr>
              <w:t>Heavily</w:t>
            </w:r>
            <w:r>
              <w:rPr>
                <w:spacing w:val="24"/>
                <w:sz w:val="22"/>
              </w:rPr>
              <w:t xml:space="preserve"> </w:t>
            </w:r>
            <w:r>
              <w:rPr>
                <w:sz w:val="22"/>
              </w:rPr>
              <w:t>concentrated around</w:t>
            </w:r>
            <w:r>
              <w:rPr>
                <w:spacing w:val="24"/>
                <w:sz w:val="22"/>
              </w:rPr>
              <w:t xml:space="preserve"> </w:t>
            </w:r>
            <w:r>
              <w:rPr>
                <w:sz w:val="22"/>
              </w:rPr>
              <w:t>the</w:t>
            </w:r>
            <w:r>
              <w:rPr>
                <w:spacing w:val="24"/>
                <w:sz w:val="22"/>
              </w:rPr>
              <w:t xml:space="preserve"> </w:t>
            </w:r>
            <w:r>
              <w:rPr>
                <w:sz w:val="22"/>
              </w:rPr>
              <w:t>state</w:t>
            </w:r>
            <w:r>
              <w:rPr>
                <w:spacing w:val="24"/>
                <w:sz w:val="22"/>
              </w:rPr>
              <w:t xml:space="preserve"> </w:t>
            </w:r>
            <w:r>
              <w:rPr>
                <w:sz w:val="22"/>
              </w:rPr>
              <w:t>capital, Wad Madani.</w:t>
            </w:r>
          </w:p>
        </w:tc>
      </w:tr>
      <w:tr w14:paraId="24282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7" w:hRule="atLeast"/>
        </w:trPr>
        <w:tc>
          <w:tcPr>
            <w:tcW w:w="2979" w:type="dxa"/>
          </w:tcPr>
          <w:p w14:paraId="63673690">
            <w:pPr>
              <w:pStyle w:val="11"/>
              <w:spacing w:before="1"/>
              <w:ind w:right="1005"/>
              <w:rPr>
                <w:sz w:val="22"/>
              </w:rPr>
            </w:pPr>
            <w:r>
              <w:rPr>
                <w:sz w:val="22"/>
              </w:rPr>
              <w:t>Al-Gezira</w:t>
            </w:r>
            <w:r>
              <w:rPr>
                <w:spacing w:val="-14"/>
                <w:sz w:val="22"/>
              </w:rPr>
              <w:t xml:space="preserve"> </w:t>
            </w:r>
            <w:r>
              <w:rPr>
                <w:sz w:val="22"/>
              </w:rPr>
              <w:t xml:space="preserve">Liberation </w:t>
            </w:r>
            <w:r>
              <w:rPr>
                <w:spacing w:val="-2"/>
                <w:sz w:val="22"/>
              </w:rPr>
              <w:t>Movement</w:t>
            </w:r>
          </w:p>
        </w:tc>
        <w:tc>
          <w:tcPr>
            <w:tcW w:w="2976" w:type="dxa"/>
          </w:tcPr>
          <w:p w14:paraId="433A1141">
            <w:pPr>
              <w:pStyle w:val="11"/>
              <w:tabs>
                <w:tab w:val="left" w:pos="1861"/>
              </w:tabs>
              <w:spacing w:before="1"/>
              <w:ind w:left="108" w:right="91"/>
              <w:jc w:val="both"/>
              <w:rPr>
                <w:sz w:val="22"/>
              </w:rPr>
            </w:pPr>
            <w:r>
              <w:rPr>
                <w:sz w:val="22"/>
              </w:rPr>
              <w:t>Composed primarily of</w:t>
            </w:r>
            <w:r>
              <w:rPr>
                <w:spacing w:val="40"/>
                <w:sz w:val="22"/>
              </w:rPr>
              <w:t xml:space="preserve"> </w:t>
            </w:r>
            <w:r>
              <w:rPr>
                <w:sz w:val="22"/>
              </w:rPr>
              <w:t>riverine tribes from Central Sudan</w:t>
            </w:r>
            <w:r>
              <w:rPr>
                <w:spacing w:val="40"/>
                <w:sz w:val="22"/>
              </w:rPr>
              <w:t xml:space="preserve"> </w:t>
            </w:r>
            <w:r>
              <w:rPr>
                <w:sz w:val="22"/>
              </w:rPr>
              <w:t>with</w:t>
            </w:r>
            <w:r>
              <w:rPr>
                <w:spacing w:val="40"/>
                <w:sz w:val="22"/>
              </w:rPr>
              <w:t xml:space="preserve"> </w:t>
            </w:r>
            <w:r>
              <w:rPr>
                <w:sz w:val="22"/>
              </w:rPr>
              <w:t>an</w:t>
            </w:r>
            <w:r>
              <w:rPr>
                <w:spacing w:val="40"/>
                <w:sz w:val="22"/>
              </w:rPr>
              <w:t xml:space="preserve"> </w:t>
            </w:r>
            <w:r>
              <w:rPr>
                <w:sz w:val="22"/>
              </w:rPr>
              <w:t>Arab-</w:t>
            </w:r>
            <w:r>
              <w:rPr>
                <w:spacing w:val="-2"/>
                <w:sz w:val="22"/>
              </w:rPr>
              <w:t>identifying</w:t>
            </w:r>
            <w:r>
              <w:rPr>
                <w:sz w:val="22"/>
              </w:rPr>
              <w:tab/>
            </w:r>
            <w:r>
              <w:rPr>
                <w:spacing w:val="-2"/>
                <w:sz w:val="22"/>
              </w:rPr>
              <w:t xml:space="preserve">orientation. </w:t>
            </w:r>
            <w:r>
              <w:rPr>
                <w:sz w:val="22"/>
              </w:rPr>
              <w:t>Possesses</w:t>
            </w:r>
            <w:r>
              <w:rPr>
                <w:spacing w:val="-1"/>
                <w:sz w:val="22"/>
              </w:rPr>
              <w:t xml:space="preserve"> </w:t>
            </w:r>
            <w:r>
              <w:rPr>
                <w:sz w:val="22"/>
              </w:rPr>
              <w:t>strong</w:t>
            </w:r>
            <w:r>
              <w:rPr>
                <w:spacing w:val="-2"/>
                <w:sz w:val="22"/>
              </w:rPr>
              <w:t xml:space="preserve"> </w:t>
            </w:r>
            <w:r>
              <w:rPr>
                <w:sz w:val="22"/>
              </w:rPr>
              <w:t>localized</w:t>
            </w:r>
            <w:r>
              <w:rPr>
                <w:spacing w:val="-2"/>
                <w:sz w:val="22"/>
              </w:rPr>
              <w:t xml:space="preserve"> </w:t>
            </w:r>
            <w:r>
              <w:rPr>
                <w:sz w:val="22"/>
              </w:rPr>
              <w:t>ties; acts as an auxiliary force supporting the SAF in explicit opposition</w:t>
            </w:r>
            <w:r>
              <w:rPr>
                <w:spacing w:val="55"/>
                <w:sz w:val="22"/>
              </w:rPr>
              <w:t xml:space="preserve">  </w:t>
            </w:r>
            <w:r>
              <w:rPr>
                <w:sz w:val="22"/>
              </w:rPr>
              <w:t>to</w:t>
            </w:r>
            <w:r>
              <w:rPr>
                <w:spacing w:val="53"/>
                <w:sz w:val="22"/>
              </w:rPr>
              <w:t xml:space="preserve">  </w:t>
            </w:r>
            <w:r>
              <w:rPr>
                <w:sz w:val="22"/>
              </w:rPr>
              <w:t>the</w:t>
            </w:r>
            <w:r>
              <w:rPr>
                <w:spacing w:val="55"/>
                <w:sz w:val="22"/>
              </w:rPr>
              <w:t xml:space="preserve">  </w:t>
            </w:r>
            <w:r>
              <w:rPr>
                <w:spacing w:val="-2"/>
                <w:sz w:val="22"/>
              </w:rPr>
              <w:t>regional</w:t>
            </w:r>
          </w:p>
          <w:p w14:paraId="7C115CDD">
            <w:pPr>
              <w:pStyle w:val="11"/>
              <w:spacing w:line="232" w:lineRule="exact"/>
              <w:ind w:left="108"/>
              <w:jc w:val="both"/>
              <w:rPr>
                <w:sz w:val="22"/>
              </w:rPr>
            </w:pPr>
            <w:r>
              <w:rPr>
                <w:sz w:val="22"/>
              </w:rPr>
              <w:t>presence</w:t>
            </w:r>
            <w:r>
              <w:rPr>
                <w:spacing w:val="43"/>
                <w:sz w:val="22"/>
              </w:rPr>
              <w:t xml:space="preserve">  </w:t>
            </w:r>
            <w:r>
              <w:rPr>
                <w:sz w:val="22"/>
              </w:rPr>
              <w:t>of</w:t>
            </w:r>
            <w:r>
              <w:rPr>
                <w:spacing w:val="46"/>
                <w:sz w:val="22"/>
              </w:rPr>
              <w:t xml:space="preserve">  </w:t>
            </w:r>
            <w:r>
              <w:rPr>
                <w:sz w:val="22"/>
              </w:rPr>
              <w:t>Darfuri</w:t>
            </w:r>
            <w:r>
              <w:rPr>
                <w:spacing w:val="44"/>
                <w:sz w:val="22"/>
              </w:rPr>
              <w:t xml:space="preserve">  </w:t>
            </w:r>
            <w:r>
              <w:rPr>
                <w:spacing w:val="-4"/>
                <w:sz w:val="22"/>
              </w:rPr>
              <w:t>armed</w:t>
            </w:r>
          </w:p>
        </w:tc>
        <w:tc>
          <w:tcPr>
            <w:tcW w:w="4395" w:type="dxa"/>
          </w:tcPr>
          <w:p w14:paraId="241BDA3D">
            <w:pPr>
              <w:pStyle w:val="11"/>
              <w:spacing w:before="1"/>
              <w:ind w:left="108" w:right="93"/>
              <w:jc w:val="both"/>
              <w:rPr>
                <w:sz w:val="22"/>
              </w:rPr>
            </w:pPr>
            <w:r>
              <w:rPr>
                <w:sz w:val="22"/>
              </w:rPr>
              <w:t>Operations concentrated in Central Al-Gezira, driving local politics and public communications. Operates active training and operational camps throughout the villages of Southern Al-Gezira.</w:t>
            </w:r>
          </w:p>
        </w:tc>
      </w:tr>
    </w:tbl>
    <w:p w14:paraId="290AC884">
      <w:pPr>
        <w:pStyle w:val="11"/>
        <w:spacing w:after="0"/>
        <w:jc w:val="both"/>
        <w:rPr>
          <w:sz w:val="22"/>
        </w:rPr>
        <w:sectPr>
          <w:pgSz w:w="12240" w:h="15840"/>
          <w:pgMar w:top="1360" w:right="720" w:bottom="1160" w:left="720" w:header="72" w:footer="966" w:gutter="0"/>
          <w:cols w:space="720" w:num="1"/>
        </w:sectPr>
      </w:pPr>
    </w:p>
    <w:tbl>
      <w:tblPr>
        <w:tblStyle w:val="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9"/>
        <w:gridCol w:w="2976"/>
        <w:gridCol w:w="4395"/>
      </w:tblGrid>
      <w:tr w14:paraId="5A6BB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979" w:type="dxa"/>
          </w:tcPr>
          <w:p w14:paraId="69C2346A">
            <w:pPr>
              <w:pStyle w:val="11"/>
              <w:ind w:left="0"/>
              <w:rPr>
                <w:sz w:val="22"/>
              </w:rPr>
            </w:pPr>
          </w:p>
        </w:tc>
        <w:tc>
          <w:tcPr>
            <w:tcW w:w="2976" w:type="dxa"/>
          </w:tcPr>
          <w:p w14:paraId="72106364">
            <w:pPr>
              <w:pStyle w:val="11"/>
              <w:spacing w:line="247" w:lineRule="exact"/>
              <w:ind w:left="108"/>
              <w:rPr>
                <w:sz w:val="22"/>
              </w:rPr>
            </w:pPr>
            <w:r>
              <w:rPr>
                <w:sz w:val="22"/>
              </w:rPr>
              <w:t>factions</w:t>
            </w:r>
            <w:r>
              <w:rPr>
                <w:spacing w:val="27"/>
                <w:sz w:val="22"/>
              </w:rPr>
              <w:t xml:space="preserve"> </w:t>
            </w:r>
            <w:r>
              <w:rPr>
                <w:sz w:val="22"/>
              </w:rPr>
              <w:t>aligned</w:t>
            </w:r>
            <w:r>
              <w:rPr>
                <w:spacing w:val="29"/>
                <w:sz w:val="22"/>
              </w:rPr>
              <w:t xml:space="preserve"> </w:t>
            </w:r>
            <w:r>
              <w:rPr>
                <w:sz w:val="22"/>
              </w:rPr>
              <w:t>with</w:t>
            </w:r>
            <w:r>
              <w:rPr>
                <w:spacing w:val="28"/>
                <w:sz w:val="22"/>
              </w:rPr>
              <w:t xml:space="preserve"> </w:t>
            </w:r>
            <w:r>
              <w:rPr>
                <w:sz w:val="22"/>
              </w:rPr>
              <w:t>the</w:t>
            </w:r>
            <w:r>
              <w:rPr>
                <w:spacing w:val="28"/>
                <w:sz w:val="22"/>
              </w:rPr>
              <w:t xml:space="preserve"> </w:t>
            </w:r>
            <w:r>
              <w:rPr>
                <w:spacing w:val="-4"/>
                <w:sz w:val="22"/>
              </w:rPr>
              <w:t>Juba</w:t>
            </w:r>
          </w:p>
          <w:p w14:paraId="3EFF651A">
            <w:pPr>
              <w:pStyle w:val="11"/>
              <w:spacing w:before="1" w:line="306" w:lineRule="exact"/>
              <w:ind w:left="108"/>
              <w:rPr>
                <w:b/>
                <w:sz w:val="28"/>
              </w:rPr>
            </w:pPr>
            <w:r>
              <w:rPr>
                <w:sz w:val="22"/>
              </w:rPr>
              <w:t xml:space="preserve">Peace </w:t>
            </w:r>
            <w:r>
              <w:rPr>
                <w:spacing w:val="-2"/>
                <w:sz w:val="22"/>
              </w:rPr>
              <w:t>Agreement</w:t>
            </w:r>
            <w:r>
              <w:rPr>
                <w:b/>
                <w:spacing w:val="-2"/>
                <w:sz w:val="28"/>
              </w:rPr>
              <w:t>.</w:t>
            </w:r>
          </w:p>
        </w:tc>
        <w:tc>
          <w:tcPr>
            <w:tcW w:w="4395" w:type="dxa"/>
          </w:tcPr>
          <w:p w14:paraId="6E4CA03B">
            <w:pPr>
              <w:pStyle w:val="11"/>
              <w:ind w:left="0"/>
              <w:rPr>
                <w:sz w:val="22"/>
              </w:rPr>
            </w:pPr>
          </w:p>
        </w:tc>
      </w:tr>
      <w:tr w14:paraId="376CF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2979" w:type="dxa"/>
          </w:tcPr>
          <w:p w14:paraId="48E91BB0">
            <w:pPr>
              <w:pStyle w:val="11"/>
              <w:tabs>
                <w:tab w:val="left" w:pos="1166"/>
                <w:tab w:val="left" w:pos="2287"/>
              </w:tabs>
              <w:ind w:right="94"/>
              <w:rPr>
                <w:sz w:val="22"/>
              </w:rPr>
            </w:pPr>
            <w:r>
              <w:rPr>
                <w:sz w:val="22"/>
                <w:shd w:val="clear" w:fill="F1F1F1" w:themeFill="background1" w:themeFillShade="F2"/>
              </w:rPr>
              <mc:AlternateContent>
                <mc:Choice Requires="wpg">
                  <w:drawing>
                    <wp:anchor distT="0" distB="0" distL="0" distR="0" simplePos="0" relativeHeight="251660288" behindDoc="1" locked="0" layoutInCell="1" allowOverlap="1">
                      <wp:simplePos x="0" y="0"/>
                      <wp:positionH relativeFrom="column">
                        <wp:posOffset>68580</wp:posOffset>
                      </wp:positionH>
                      <wp:positionV relativeFrom="paragraph">
                        <wp:posOffset>635</wp:posOffset>
                      </wp:positionV>
                      <wp:extent cx="1754505" cy="160020"/>
                      <wp:effectExtent l="0" t="0" r="0" b="0"/>
                      <wp:wrapNone/>
                      <wp:docPr id="6" name="Group 6"/>
                      <wp:cNvGraphicFramePr/>
                      <a:graphic xmlns:a="http://schemas.openxmlformats.org/drawingml/2006/main">
                        <a:graphicData uri="http://schemas.microsoft.com/office/word/2010/wordprocessingGroup">
                          <wpg:wgp>
                            <wpg:cNvGrpSpPr/>
                            <wpg:grpSpPr>
                              <a:xfrm>
                                <a:off x="0" y="0"/>
                                <a:ext cx="1754505" cy="160020"/>
                                <a:chOff x="0" y="0"/>
                                <a:chExt cx="1754505" cy="160020"/>
                              </a:xfrm>
                            </wpg:grpSpPr>
                            <wps:wsp>
                              <wps:cNvPr id="7" name="Graphic 7"/>
                              <wps:cNvSpPr/>
                              <wps:spPr>
                                <a:xfrm>
                                  <a:off x="0" y="0"/>
                                  <a:ext cx="1754505" cy="160020"/>
                                </a:xfrm>
                                <a:custGeom>
                                  <a:avLst/>
                                  <a:gdLst/>
                                  <a:ahLst/>
                                  <a:cxnLst/>
                                  <a:rect l="l" t="t" r="r" b="b"/>
                                  <a:pathLst>
                                    <a:path w="1754505" h="160020">
                                      <a:moveTo>
                                        <a:pt x="1754377" y="0"/>
                                      </a:moveTo>
                                      <a:lnTo>
                                        <a:pt x="0" y="0"/>
                                      </a:lnTo>
                                      <a:lnTo>
                                        <a:pt x="0" y="160020"/>
                                      </a:lnTo>
                                      <a:lnTo>
                                        <a:pt x="1754377" y="160020"/>
                                      </a:lnTo>
                                      <a:lnTo>
                                        <a:pt x="1754377" y="0"/>
                                      </a:lnTo>
                                      <a:close/>
                                    </a:path>
                                  </a:pathLst>
                                </a:custGeom>
                                <a:solidFill>
                                  <a:srgbClr val="FFFF00"/>
                                </a:solidFill>
                              </wps:spPr>
                              <wps:bodyPr wrap="square" lIns="0" tIns="0" rIns="0" bIns="0" rtlCol="0">
                                <a:noAutofit/>
                              </wps:bodyPr>
                            </wps:wsp>
                          </wpg:wgp>
                        </a:graphicData>
                      </a:graphic>
                    </wp:anchor>
                  </w:drawing>
                </mc:Choice>
                <mc:Fallback>
                  <w:pict>
                    <v:group id="_x0000_s1026" o:spid="_x0000_s1026" o:spt="203" style="position:absolute;left:0pt;margin-left:5.4pt;margin-top:0.05pt;height:12.6pt;width:138.15pt;z-index:-251656192;mso-width-relative:page;mso-height-relative:page;" coordsize="1754505,160020" o:gfxdata="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Yd9mPUAAAABgEAAA8AAAAAAAAAAQAgAAAAIgAAAGRycy9kb3ducmV2LnhtbFBLAQIUABQA&#10;AAAIAIdO4kDGvG+7ZgIAABIGAAAOAAAAAAAAAAEAIAAAACMBAABkcnMvZTJvRG9jLnhtbFBLBQYA&#10;AAAABgAGAFkBAAD7BQAAAAA=&#10;">
                      <o:lock v:ext="edit" aspectratio="f"/>
                      <v:shape id="Graphic 7" o:spid="_x0000_s1026" o:spt="100" style="position:absolute;left:0;top:0;height:160020;width:1754505;" fillcolor="#FFFF00" filled="t" stroked="f" coordsize="1754505,160020" o:gfxdata="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VWDi8AAAA&#10;2gAAAA8AAAAAAAAAAQAgAAAAIgAAAGRycy9kb3ducmV2LnhtbFBLAQIUABQAAAAIAIdO4kAzLwWe&#10;OwAAADkAAAAQAAAAAAAAAAEAIAAAAAsBAABkcnMvc2hhcGV4bWwueG1sUEsFBgAAAAAGAAYAWwEA&#10;ALUDAAAAAA==&#10;" path="m1754377,0l0,0,0,160020,1754377,160020,1754377,0xe">
                        <v:fill on="t" focussize="0,0"/>
                        <v:stroke on="f"/>
                        <v:imagedata o:title=""/>
                        <o:lock v:ext="edit" aspectratio="f"/>
                        <v:textbox inset="0mm,0mm,0mm,0mm"/>
                      </v:shape>
                    </v:group>
                  </w:pict>
                </mc:Fallback>
              </mc:AlternateContent>
            </w:r>
            <w:r>
              <w:rPr>
                <w:spacing w:val="-2"/>
                <w:sz w:val="22"/>
                <w:shd w:val="clear" w:fill="F1F1F1" w:themeFill="background1" w:themeFillShade="F2"/>
              </w:rPr>
              <w:t>Special</w:t>
            </w:r>
            <w:r>
              <w:rPr>
                <w:sz w:val="22"/>
                <w:shd w:val="clear" w:fill="F1F1F1" w:themeFill="background1" w:themeFillShade="F2"/>
              </w:rPr>
              <w:tab/>
            </w:r>
            <w:r>
              <w:rPr>
                <w:spacing w:val="-2"/>
                <w:sz w:val="22"/>
                <w:shd w:val="clear" w:fill="F1F1F1" w:themeFill="background1" w:themeFillShade="F2"/>
              </w:rPr>
              <w:t>Mission</w:t>
            </w:r>
            <w:r>
              <w:rPr>
                <w:sz w:val="22"/>
                <w:shd w:val="clear" w:fill="F1F1F1" w:themeFill="background1" w:themeFillShade="F2"/>
              </w:rPr>
              <w:tab/>
            </w:r>
            <w:r>
              <w:rPr>
                <w:spacing w:val="-2"/>
                <w:sz w:val="22"/>
                <w:shd w:val="clear" w:fill="F1F1F1" w:themeFill="background1" w:themeFillShade="F2"/>
              </w:rPr>
              <w:t>Forces</w:t>
            </w:r>
            <w:r>
              <w:rPr>
                <w:spacing w:val="-2"/>
                <w:sz w:val="22"/>
              </w:rPr>
              <w:t xml:space="preserve"> </w:t>
            </w:r>
            <w:r>
              <w:rPr>
                <w:sz w:val="22"/>
              </w:rPr>
              <w:t>(Islamist</w:t>
            </w:r>
            <w:r>
              <w:rPr>
                <w:spacing w:val="-7"/>
                <w:sz w:val="22"/>
              </w:rPr>
              <w:t xml:space="preserve"> </w:t>
            </w:r>
            <w:r>
              <w:rPr>
                <w:sz w:val="22"/>
              </w:rPr>
              <w:t>Factions</w:t>
            </w:r>
            <w:r>
              <w:rPr>
                <w:spacing w:val="-5"/>
                <w:sz w:val="22"/>
              </w:rPr>
              <w:t xml:space="preserve"> </w:t>
            </w:r>
            <w:r>
              <w:rPr>
                <w:sz w:val="22"/>
              </w:rPr>
              <w:t>within</w:t>
            </w:r>
            <w:r>
              <w:rPr>
                <w:spacing w:val="-7"/>
                <w:sz w:val="22"/>
              </w:rPr>
              <w:t xml:space="preserve"> </w:t>
            </w:r>
            <w:r>
              <w:rPr>
                <w:spacing w:val="-4"/>
                <w:sz w:val="22"/>
              </w:rPr>
              <w:t>SMF)</w:t>
            </w:r>
          </w:p>
        </w:tc>
        <w:tc>
          <w:tcPr>
            <w:tcW w:w="2976" w:type="dxa"/>
          </w:tcPr>
          <w:p w14:paraId="576F9AB9">
            <w:pPr>
              <w:pStyle w:val="11"/>
              <w:ind w:left="108" w:right="94"/>
              <w:jc w:val="both"/>
              <w:rPr>
                <w:sz w:val="22"/>
              </w:rPr>
            </w:pPr>
            <w:r>
              <w:rPr>
                <w:sz w:val="22"/>
              </w:rPr>
              <w:t>Comprises Islamist fighters integrated into the regular armed</w:t>
            </w:r>
            <w:r>
              <w:rPr>
                <w:spacing w:val="56"/>
                <w:w w:val="150"/>
                <w:sz w:val="22"/>
              </w:rPr>
              <w:t xml:space="preserve">   </w:t>
            </w:r>
            <w:r>
              <w:rPr>
                <w:sz w:val="22"/>
              </w:rPr>
              <w:t>forces'</w:t>
            </w:r>
            <w:r>
              <w:rPr>
                <w:spacing w:val="56"/>
                <w:w w:val="150"/>
                <w:sz w:val="22"/>
              </w:rPr>
              <w:t xml:space="preserve">   </w:t>
            </w:r>
            <w:r>
              <w:rPr>
                <w:spacing w:val="-2"/>
                <w:sz w:val="22"/>
              </w:rPr>
              <w:t>domestic</w:t>
            </w:r>
          </w:p>
          <w:p w14:paraId="5DA8B092">
            <w:pPr>
              <w:pStyle w:val="11"/>
              <w:spacing w:line="237" w:lineRule="exact"/>
              <w:ind w:left="108"/>
              <w:jc w:val="both"/>
              <w:rPr>
                <w:sz w:val="22"/>
              </w:rPr>
            </w:pPr>
            <w:r>
              <w:rPr>
                <w:sz w:val="22"/>
              </w:rPr>
              <w:t>security</w:t>
            </w:r>
            <w:r>
              <w:rPr>
                <w:spacing w:val="-4"/>
                <w:sz w:val="22"/>
              </w:rPr>
              <w:t xml:space="preserve"> </w:t>
            </w:r>
            <w:r>
              <w:rPr>
                <w:spacing w:val="-2"/>
                <w:sz w:val="22"/>
              </w:rPr>
              <w:t>framework.</w:t>
            </w:r>
          </w:p>
        </w:tc>
        <w:tc>
          <w:tcPr>
            <w:tcW w:w="4395" w:type="dxa"/>
          </w:tcPr>
          <w:p w14:paraId="4C2B0C99">
            <w:pPr>
              <w:pStyle w:val="11"/>
              <w:ind w:left="108" w:right="95"/>
              <w:jc w:val="both"/>
              <w:rPr>
                <w:sz w:val="22"/>
              </w:rPr>
            </w:pPr>
            <w:r>
              <w:rPr>
                <w:sz w:val="22"/>
              </w:rPr>
              <w:t>Concentrated in Wad Madani and surrounding urban perimeters, serving as a core component of the state's immediate defensive apparatus.</w:t>
            </w:r>
          </w:p>
        </w:tc>
      </w:tr>
      <w:tr w14:paraId="6432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2979" w:type="dxa"/>
          </w:tcPr>
          <w:p w14:paraId="7E07407D">
            <w:pPr>
              <w:pStyle w:val="11"/>
              <w:ind w:right="355"/>
              <w:rPr>
                <w:sz w:val="22"/>
              </w:rPr>
            </w:pPr>
            <w:r>
              <w:rPr>
                <w:sz w:val="22"/>
              </w:rPr>
              <w:t>Shadow Militancy: Islamist Movement</w:t>
            </w:r>
            <w:r>
              <w:rPr>
                <w:spacing w:val="-14"/>
                <w:sz w:val="22"/>
              </w:rPr>
              <w:t xml:space="preserve"> </w:t>
            </w:r>
            <w:r>
              <w:rPr>
                <w:sz w:val="22"/>
              </w:rPr>
              <w:t>Brigades</w:t>
            </w:r>
            <w:r>
              <w:rPr>
                <w:spacing w:val="-14"/>
                <w:sz w:val="22"/>
              </w:rPr>
              <w:t xml:space="preserve"> </w:t>
            </w:r>
            <w:r>
              <w:rPr>
                <w:sz w:val="22"/>
              </w:rPr>
              <w:t>(Heiyat Al-Amaliat / Operations</w:t>
            </w:r>
          </w:p>
          <w:p w14:paraId="40C36EAA">
            <w:pPr>
              <w:pStyle w:val="11"/>
              <w:spacing w:line="238" w:lineRule="exact"/>
              <w:rPr>
                <w:sz w:val="22"/>
              </w:rPr>
            </w:pPr>
            <w:r>
              <w:rPr>
                <w:spacing w:val="-2"/>
                <w:sz w:val="22"/>
              </w:rPr>
              <w:t>Authority)</w:t>
            </w:r>
          </w:p>
        </w:tc>
        <w:tc>
          <w:tcPr>
            <w:tcW w:w="2976" w:type="dxa"/>
          </w:tcPr>
          <w:p w14:paraId="7BEFD41A">
            <w:pPr>
              <w:pStyle w:val="11"/>
              <w:ind w:left="108" w:right="94"/>
              <w:jc w:val="both"/>
              <w:rPr>
                <w:sz w:val="22"/>
              </w:rPr>
            </w:pPr>
            <w:r>
              <w:rPr>
                <w:sz w:val="22"/>
              </w:rPr>
              <w:t>Military formation affiliated with the broader Islamist movement;</w:t>
            </w:r>
            <w:r>
              <w:rPr>
                <w:spacing w:val="49"/>
                <w:sz w:val="22"/>
              </w:rPr>
              <w:t xml:space="preserve">  </w:t>
            </w:r>
            <w:r>
              <w:rPr>
                <w:sz w:val="22"/>
              </w:rPr>
              <w:t>fights</w:t>
            </w:r>
            <w:r>
              <w:rPr>
                <w:spacing w:val="49"/>
                <w:sz w:val="22"/>
              </w:rPr>
              <w:t xml:space="preserve">  </w:t>
            </w:r>
            <w:r>
              <w:rPr>
                <w:spacing w:val="-2"/>
                <w:sz w:val="22"/>
              </w:rPr>
              <w:t>alongside</w:t>
            </w:r>
          </w:p>
          <w:p w14:paraId="39A008FC">
            <w:pPr>
              <w:pStyle w:val="11"/>
              <w:spacing w:line="238" w:lineRule="exact"/>
              <w:ind w:left="108"/>
              <w:jc w:val="both"/>
              <w:rPr>
                <w:sz w:val="22"/>
              </w:rPr>
            </w:pPr>
            <w:r>
              <w:rPr>
                <w:sz w:val="22"/>
              </w:rPr>
              <w:t>regular</w:t>
            </w:r>
            <w:r>
              <w:rPr>
                <w:spacing w:val="-4"/>
                <w:sz w:val="22"/>
              </w:rPr>
              <w:t xml:space="preserve"> </w:t>
            </w:r>
            <w:r>
              <w:rPr>
                <w:sz w:val="22"/>
              </w:rPr>
              <w:t>armed</w:t>
            </w:r>
            <w:r>
              <w:rPr>
                <w:spacing w:val="-3"/>
                <w:sz w:val="22"/>
              </w:rPr>
              <w:t xml:space="preserve"> </w:t>
            </w:r>
            <w:r>
              <w:rPr>
                <w:spacing w:val="-2"/>
                <w:sz w:val="22"/>
              </w:rPr>
              <w:t>forces.</w:t>
            </w:r>
          </w:p>
        </w:tc>
        <w:tc>
          <w:tcPr>
            <w:tcW w:w="4395" w:type="dxa"/>
          </w:tcPr>
          <w:p w14:paraId="307985DB">
            <w:pPr>
              <w:pStyle w:val="11"/>
              <w:spacing w:line="247" w:lineRule="exact"/>
              <w:ind w:left="108"/>
              <w:rPr>
                <w:sz w:val="22"/>
              </w:rPr>
            </w:pPr>
            <w:r>
              <w:rPr>
                <w:sz w:val="22"/>
              </w:rPr>
              <w:t>Deployed</w:t>
            </w:r>
            <w:r>
              <w:rPr>
                <w:spacing w:val="-3"/>
                <w:sz w:val="22"/>
              </w:rPr>
              <w:t xml:space="preserve"> </w:t>
            </w:r>
            <w:r>
              <w:rPr>
                <w:sz w:val="22"/>
              </w:rPr>
              <w:t>along</w:t>
            </w:r>
            <w:r>
              <w:rPr>
                <w:spacing w:val="-4"/>
                <w:sz w:val="22"/>
              </w:rPr>
              <w:t xml:space="preserve"> </w:t>
            </w:r>
            <w:r>
              <w:rPr>
                <w:sz w:val="22"/>
              </w:rPr>
              <w:t>the</w:t>
            </w:r>
            <w:r>
              <w:rPr>
                <w:spacing w:val="-2"/>
                <w:sz w:val="22"/>
              </w:rPr>
              <w:t xml:space="preserve"> </w:t>
            </w:r>
            <w:r>
              <w:rPr>
                <w:sz w:val="22"/>
              </w:rPr>
              <w:t>Central</w:t>
            </w:r>
            <w:r>
              <w:rPr>
                <w:spacing w:val="-3"/>
                <w:sz w:val="22"/>
              </w:rPr>
              <w:t xml:space="preserve"> </w:t>
            </w:r>
            <w:r>
              <w:rPr>
                <w:sz w:val="22"/>
              </w:rPr>
              <w:t>Sudan</w:t>
            </w:r>
            <w:r>
              <w:rPr>
                <w:spacing w:val="-2"/>
                <w:sz w:val="22"/>
              </w:rPr>
              <w:t xml:space="preserve"> </w:t>
            </w:r>
            <w:r>
              <w:rPr>
                <w:spacing w:val="-4"/>
                <w:sz w:val="22"/>
              </w:rPr>
              <w:t>Axes.</w:t>
            </w:r>
          </w:p>
        </w:tc>
      </w:tr>
      <w:tr w14:paraId="6BF62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2979" w:type="dxa"/>
          </w:tcPr>
          <w:p w14:paraId="438A3160">
            <w:pPr>
              <w:pStyle w:val="11"/>
              <w:spacing w:line="247" w:lineRule="exact"/>
              <w:rPr>
                <w:sz w:val="22"/>
              </w:rPr>
            </w:pPr>
            <w:r>
              <w:rPr>
                <w:sz w:val="22"/>
              </w:rPr>
              <w:t>Al-Baraa</w:t>
            </w:r>
            <w:r>
              <w:rPr>
                <w:spacing w:val="-3"/>
                <w:sz w:val="22"/>
              </w:rPr>
              <w:t xml:space="preserve"> </w:t>
            </w:r>
            <w:r>
              <w:rPr>
                <w:sz w:val="22"/>
              </w:rPr>
              <w:t>Ibn</w:t>
            </w:r>
            <w:r>
              <w:rPr>
                <w:spacing w:val="-4"/>
                <w:sz w:val="22"/>
              </w:rPr>
              <w:t xml:space="preserve"> </w:t>
            </w:r>
            <w:r>
              <w:rPr>
                <w:sz w:val="22"/>
              </w:rPr>
              <w:t>Malik</w:t>
            </w:r>
            <w:r>
              <w:rPr>
                <w:spacing w:val="-2"/>
                <w:sz w:val="22"/>
              </w:rPr>
              <w:t xml:space="preserve"> Brigade</w:t>
            </w:r>
          </w:p>
        </w:tc>
        <w:tc>
          <w:tcPr>
            <w:tcW w:w="2976" w:type="dxa"/>
          </w:tcPr>
          <w:p w14:paraId="461DD681">
            <w:pPr>
              <w:pStyle w:val="11"/>
              <w:ind w:left="108" w:right="94"/>
              <w:jc w:val="both"/>
              <w:rPr>
                <w:sz w:val="22"/>
              </w:rPr>
            </w:pPr>
            <w:r>
              <w:rPr>
                <w:sz w:val="22"/>
              </w:rPr>
              <w:t>Militant Islamist faction managed through a network involving the NCP, state intelligence, and SAF.</w:t>
            </w:r>
          </w:p>
        </w:tc>
        <w:tc>
          <w:tcPr>
            <w:tcW w:w="4395" w:type="dxa"/>
          </w:tcPr>
          <w:p w14:paraId="6F250B21">
            <w:pPr>
              <w:pStyle w:val="11"/>
              <w:ind w:left="108" w:right="94"/>
              <w:jc w:val="both"/>
              <w:rPr>
                <w:sz w:val="22"/>
              </w:rPr>
            </w:pPr>
            <w:r>
              <w:rPr>
                <w:sz w:val="22"/>
              </w:rPr>
              <w:t>Administrative footprint includes offices in Wad Madani, East Gezira, Rufa'a, and an</w:t>
            </w:r>
            <w:r>
              <w:rPr>
                <w:spacing w:val="40"/>
                <w:sz w:val="22"/>
              </w:rPr>
              <w:t xml:space="preserve"> </w:t>
            </w:r>
            <w:r>
              <w:rPr>
                <w:sz w:val="22"/>
              </w:rPr>
              <w:t>active training camp in Al-Hilaliya. Operates joint</w:t>
            </w:r>
            <w:r>
              <w:rPr>
                <w:spacing w:val="39"/>
                <w:sz w:val="22"/>
              </w:rPr>
              <w:t xml:space="preserve">  </w:t>
            </w:r>
            <w:r>
              <w:rPr>
                <w:sz w:val="22"/>
              </w:rPr>
              <w:t>command</w:t>
            </w:r>
            <w:r>
              <w:rPr>
                <w:spacing w:val="39"/>
                <w:sz w:val="22"/>
              </w:rPr>
              <w:t xml:space="preserve">  </w:t>
            </w:r>
            <w:r>
              <w:rPr>
                <w:sz w:val="22"/>
              </w:rPr>
              <w:t>offices</w:t>
            </w:r>
            <w:r>
              <w:rPr>
                <w:spacing w:val="38"/>
                <w:sz w:val="22"/>
              </w:rPr>
              <w:t xml:space="preserve">  </w:t>
            </w:r>
            <w:r>
              <w:rPr>
                <w:sz w:val="22"/>
              </w:rPr>
              <w:t>with</w:t>
            </w:r>
            <w:r>
              <w:rPr>
                <w:spacing w:val="39"/>
                <w:sz w:val="22"/>
              </w:rPr>
              <w:t xml:space="preserve">  </w:t>
            </w:r>
            <w:r>
              <w:rPr>
                <w:sz w:val="22"/>
              </w:rPr>
              <w:t>the</w:t>
            </w:r>
            <w:r>
              <w:rPr>
                <w:spacing w:val="40"/>
                <w:sz w:val="22"/>
              </w:rPr>
              <w:t xml:space="preserve">  </w:t>
            </w:r>
            <w:r>
              <w:rPr>
                <w:spacing w:val="-2"/>
                <w:sz w:val="22"/>
              </w:rPr>
              <w:t>Popular</w:t>
            </w:r>
          </w:p>
          <w:p w14:paraId="5B6940CD">
            <w:pPr>
              <w:pStyle w:val="11"/>
              <w:spacing w:line="238" w:lineRule="exact"/>
              <w:ind w:left="108"/>
              <w:jc w:val="both"/>
              <w:rPr>
                <w:sz w:val="22"/>
              </w:rPr>
            </w:pPr>
            <w:r>
              <w:rPr>
                <w:sz w:val="22"/>
              </w:rPr>
              <w:t>Resistance</w:t>
            </w:r>
            <w:r>
              <w:rPr>
                <w:spacing w:val="-6"/>
                <w:sz w:val="22"/>
              </w:rPr>
              <w:t xml:space="preserve"> </w:t>
            </w:r>
            <w:r>
              <w:rPr>
                <w:sz w:val="22"/>
              </w:rPr>
              <w:t>in</w:t>
            </w:r>
            <w:r>
              <w:rPr>
                <w:spacing w:val="-4"/>
                <w:sz w:val="22"/>
              </w:rPr>
              <w:t xml:space="preserve"> </w:t>
            </w:r>
            <w:r>
              <w:rPr>
                <w:sz w:val="22"/>
              </w:rPr>
              <w:t>Abu</w:t>
            </w:r>
            <w:r>
              <w:rPr>
                <w:spacing w:val="-4"/>
                <w:sz w:val="22"/>
              </w:rPr>
              <w:t xml:space="preserve"> </w:t>
            </w:r>
            <w:r>
              <w:rPr>
                <w:sz w:val="22"/>
              </w:rPr>
              <w:t>Ushar</w:t>
            </w:r>
            <w:r>
              <w:rPr>
                <w:spacing w:val="-3"/>
                <w:sz w:val="22"/>
              </w:rPr>
              <w:t xml:space="preserve"> </w:t>
            </w:r>
            <w:r>
              <w:rPr>
                <w:sz w:val="22"/>
              </w:rPr>
              <w:t>and</w:t>
            </w:r>
            <w:r>
              <w:rPr>
                <w:spacing w:val="-3"/>
                <w:sz w:val="22"/>
              </w:rPr>
              <w:t xml:space="preserve"> </w:t>
            </w:r>
            <w:r>
              <w:rPr>
                <w:sz w:val="22"/>
              </w:rPr>
              <w:t>Al-</w:t>
            </w:r>
            <w:r>
              <w:rPr>
                <w:spacing w:val="-2"/>
                <w:sz w:val="22"/>
              </w:rPr>
              <w:t>Kamilin.</w:t>
            </w:r>
          </w:p>
        </w:tc>
      </w:tr>
      <w:tr w14:paraId="6229E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2979" w:type="dxa"/>
          </w:tcPr>
          <w:p w14:paraId="2CF87023">
            <w:pPr>
              <w:pStyle w:val="11"/>
              <w:spacing w:line="242" w:lineRule="auto"/>
              <w:rPr>
                <w:sz w:val="22"/>
              </w:rPr>
            </w:pPr>
            <w:r>
              <w:rPr>
                <w:sz w:val="22"/>
              </w:rPr>
              <w:t>Sudanese</w:t>
            </w:r>
            <w:r>
              <w:rPr>
                <w:spacing w:val="-14"/>
                <w:sz w:val="22"/>
              </w:rPr>
              <w:t xml:space="preserve"> </w:t>
            </w:r>
            <w:r>
              <w:rPr>
                <w:sz w:val="22"/>
              </w:rPr>
              <w:t>Popular</w:t>
            </w:r>
            <w:r>
              <w:rPr>
                <w:spacing w:val="-14"/>
                <w:sz w:val="22"/>
              </w:rPr>
              <w:t xml:space="preserve"> </w:t>
            </w:r>
            <w:r>
              <w:rPr>
                <w:sz w:val="22"/>
              </w:rPr>
              <w:t xml:space="preserve">Resistance </w:t>
            </w:r>
            <w:r>
              <w:rPr>
                <w:spacing w:val="-2"/>
                <w:sz w:val="22"/>
              </w:rPr>
              <w:t>(Mustanfareen)</w:t>
            </w:r>
          </w:p>
        </w:tc>
        <w:tc>
          <w:tcPr>
            <w:tcW w:w="2976" w:type="dxa"/>
          </w:tcPr>
          <w:p w14:paraId="0458D82E">
            <w:pPr>
              <w:pStyle w:val="11"/>
              <w:ind w:left="108" w:right="92"/>
              <w:jc w:val="both"/>
              <w:rPr>
                <w:sz w:val="22"/>
              </w:rPr>
            </w:pPr>
            <w:r>
              <w:rPr>
                <w:sz w:val="22"/>
              </w:rPr>
              <w:t>Draws substantial local manpower from SAF-aligned community and tribal militias. Supported</w:t>
            </w:r>
            <w:r>
              <w:rPr>
                <w:spacing w:val="38"/>
                <w:sz w:val="22"/>
              </w:rPr>
              <w:t xml:space="preserve"> </w:t>
            </w:r>
            <w:r>
              <w:rPr>
                <w:sz w:val="22"/>
              </w:rPr>
              <w:t>heavily</w:t>
            </w:r>
            <w:r>
              <w:rPr>
                <w:spacing w:val="41"/>
                <w:sz w:val="22"/>
              </w:rPr>
              <w:t xml:space="preserve"> </w:t>
            </w:r>
            <w:r>
              <w:rPr>
                <w:sz w:val="22"/>
              </w:rPr>
              <w:t>by</w:t>
            </w:r>
            <w:r>
              <w:rPr>
                <w:spacing w:val="38"/>
                <w:sz w:val="22"/>
              </w:rPr>
              <w:t xml:space="preserve"> </w:t>
            </w:r>
            <w:r>
              <w:rPr>
                <w:spacing w:val="-2"/>
                <w:sz w:val="22"/>
              </w:rPr>
              <w:t>military</w:t>
            </w:r>
          </w:p>
          <w:p w14:paraId="2C85497F">
            <w:pPr>
              <w:pStyle w:val="11"/>
              <w:spacing w:line="252" w:lineRule="exact"/>
              <w:ind w:left="108" w:right="95"/>
              <w:jc w:val="both"/>
              <w:rPr>
                <w:sz w:val="22"/>
              </w:rPr>
            </w:pPr>
            <w:r>
              <w:rPr>
                <w:sz w:val="22"/>
              </w:rPr>
              <w:t>and local government leadership tied to the NCP.</w:t>
            </w:r>
          </w:p>
        </w:tc>
        <w:tc>
          <w:tcPr>
            <w:tcW w:w="4395" w:type="dxa"/>
          </w:tcPr>
          <w:p w14:paraId="2A2D6E9D">
            <w:pPr>
              <w:pStyle w:val="11"/>
              <w:ind w:left="108" w:right="93"/>
              <w:jc w:val="both"/>
              <w:rPr>
                <w:sz w:val="22"/>
              </w:rPr>
            </w:pPr>
            <w:r>
              <w:rPr>
                <w:sz w:val="22"/>
              </w:rPr>
              <w:t>Offices in Wad Madani, Abu Ushar, Al-Kamilin, Umm Al-Qura, Al-Hilaliya, and across most villages—particularly within the Al-Manaqil locality. Operates training camps</w:t>
            </w:r>
            <w:r>
              <w:rPr>
                <w:spacing w:val="40"/>
                <w:sz w:val="22"/>
              </w:rPr>
              <w:t xml:space="preserve"> </w:t>
            </w:r>
            <w:r>
              <w:rPr>
                <w:sz w:val="22"/>
              </w:rPr>
              <w:t>in Al-Hilaliya.</w:t>
            </w:r>
          </w:p>
        </w:tc>
      </w:tr>
      <w:tr w14:paraId="31623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2979" w:type="dxa"/>
          </w:tcPr>
          <w:p w14:paraId="0F6E9DF0">
            <w:pPr>
              <w:pStyle w:val="11"/>
              <w:ind w:right="161"/>
              <w:rPr>
                <w:sz w:val="22"/>
              </w:rPr>
            </w:pPr>
            <w:r>
              <w:rPr>
                <w:sz w:val="22"/>
              </w:rPr>
              <w:t>Tribal</w:t>
            </w:r>
            <w:r>
              <w:rPr>
                <w:spacing w:val="-10"/>
                <w:sz w:val="22"/>
              </w:rPr>
              <w:t xml:space="preserve"> </w:t>
            </w:r>
            <w:r>
              <w:rPr>
                <w:sz w:val="22"/>
              </w:rPr>
              <w:t>Entities</w:t>
            </w:r>
            <w:r>
              <w:rPr>
                <w:spacing w:val="-12"/>
                <w:sz w:val="22"/>
              </w:rPr>
              <w:t xml:space="preserve"> </w:t>
            </w:r>
            <w:r>
              <w:rPr>
                <w:sz w:val="22"/>
              </w:rPr>
              <w:t>(Az-Zubayr</w:t>
            </w:r>
            <w:r>
              <w:rPr>
                <w:spacing w:val="-12"/>
                <w:sz w:val="22"/>
              </w:rPr>
              <w:t xml:space="preserve"> </w:t>
            </w:r>
            <w:r>
              <w:rPr>
                <w:sz w:val="22"/>
              </w:rPr>
              <w:t>bin al-Awwam, As-Sunduq al-Aswad, Abdullah Jamma'a)</w:t>
            </w:r>
          </w:p>
        </w:tc>
        <w:tc>
          <w:tcPr>
            <w:tcW w:w="2976" w:type="dxa"/>
          </w:tcPr>
          <w:p w14:paraId="5612D1D4">
            <w:pPr>
              <w:pStyle w:val="11"/>
              <w:ind w:left="108" w:right="95"/>
              <w:jc w:val="both"/>
              <w:rPr>
                <w:sz w:val="22"/>
              </w:rPr>
            </w:pPr>
            <w:r>
              <w:rPr>
                <w:sz w:val="22"/>
              </w:rPr>
              <w:t>Rigidly tied to the Kawahla and Rifa'a tribes; heavily backed</w:t>
            </w:r>
            <w:r>
              <w:rPr>
                <w:spacing w:val="79"/>
                <w:w w:val="150"/>
                <w:sz w:val="22"/>
              </w:rPr>
              <w:t xml:space="preserve"> </w:t>
            </w:r>
            <w:r>
              <w:rPr>
                <w:sz w:val="22"/>
              </w:rPr>
              <w:t>by</w:t>
            </w:r>
            <w:r>
              <w:rPr>
                <w:spacing w:val="79"/>
                <w:w w:val="150"/>
                <w:sz w:val="22"/>
              </w:rPr>
              <w:t xml:space="preserve"> </w:t>
            </w:r>
            <w:r>
              <w:rPr>
                <w:sz w:val="22"/>
              </w:rPr>
              <w:t>remnants</w:t>
            </w:r>
            <w:r>
              <w:rPr>
                <w:spacing w:val="79"/>
                <w:w w:val="150"/>
                <w:sz w:val="22"/>
              </w:rPr>
              <w:t xml:space="preserve"> </w:t>
            </w:r>
            <w:r>
              <w:rPr>
                <w:sz w:val="22"/>
              </w:rPr>
              <w:t>of</w:t>
            </w:r>
            <w:r>
              <w:rPr>
                <w:spacing w:val="26"/>
                <w:sz w:val="22"/>
              </w:rPr>
              <w:t xml:space="preserve">  </w:t>
            </w:r>
            <w:r>
              <w:rPr>
                <w:spacing w:val="-5"/>
                <w:sz w:val="22"/>
              </w:rPr>
              <w:t>the</w:t>
            </w:r>
          </w:p>
          <w:p w14:paraId="3277A9EF">
            <w:pPr>
              <w:pStyle w:val="11"/>
              <w:spacing w:line="240" w:lineRule="exact"/>
              <w:ind w:left="108"/>
              <w:jc w:val="both"/>
              <w:rPr>
                <w:sz w:val="22"/>
              </w:rPr>
            </w:pPr>
            <w:r>
              <w:rPr>
                <w:sz w:val="22"/>
              </w:rPr>
              <w:t>dissolved</w:t>
            </w:r>
            <w:r>
              <w:rPr>
                <w:spacing w:val="-8"/>
                <w:sz w:val="22"/>
              </w:rPr>
              <w:t xml:space="preserve"> </w:t>
            </w:r>
            <w:r>
              <w:rPr>
                <w:spacing w:val="-4"/>
                <w:sz w:val="22"/>
              </w:rPr>
              <w:t>NCP.</w:t>
            </w:r>
          </w:p>
        </w:tc>
        <w:tc>
          <w:tcPr>
            <w:tcW w:w="4395" w:type="dxa"/>
          </w:tcPr>
          <w:p w14:paraId="30552510">
            <w:pPr>
              <w:pStyle w:val="11"/>
              <w:ind w:left="108" w:right="93"/>
              <w:jc w:val="both"/>
              <w:rPr>
                <w:sz w:val="22"/>
              </w:rPr>
            </w:pPr>
            <w:r>
              <w:rPr>
                <w:sz w:val="22"/>
              </w:rPr>
              <w:t>Concentrated natively within their respective home villages, primarily clustered in the Al-Manaqil locality.</w:t>
            </w:r>
          </w:p>
        </w:tc>
      </w:tr>
      <w:tr w14:paraId="5FE10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2979" w:type="dxa"/>
          </w:tcPr>
          <w:p w14:paraId="017DDDFF">
            <w:pPr>
              <w:pStyle w:val="11"/>
              <w:tabs>
                <w:tab w:val="left" w:pos="1055"/>
                <w:tab w:val="left" w:pos="2002"/>
              </w:tabs>
              <w:ind w:right="96"/>
              <w:rPr>
                <w:sz w:val="22"/>
              </w:rPr>
            </w:pPr>
            <w:r>
              <w:rPr>
                <w:spacing w:val="-2"/>
                <w:sz w:val="22"/>
              </w:rPr>
              <w:t>Foreign</w:t>
            </w:r>
            <w:r>
              <w:rPr>
                <w:sz w:val="22"/>
              </w:rPr>
              <w:tab/>
            </w:r>
            <w:r>
              <w:rPr>
                <w:spacing w:val="-2"/>
                <w:sz w:val="22"/>
              </w:rPr>
              <w:t>Militias</w:t>
            </w:r>
            <w:r>
              <w:rPr>
                <w:sz w:val="22"/>
              </w:rPr>
              <w:tab/>
            </w:r>
            <w:r>
              <w:rPr>
                <w:spacing w:val="-2"/>
                <w:sz w:val="22"/>
              </w:rPr>
              <w:t>(Tigrayan Forces)</w:t>
            </w:r>
          </w:p>
        </w:tc>
        <w:tc>
          <w:tcPr>
            <w:tcW w:w="2976" w:type="dxa"/>
          </w:tcPr>
          <w:p w14:paraId="26EF2902">
            <w:pPr>
              <w:pStyle w:val="11"/>
              <w:tabs>
                <w:tab w:val="left" w:pos="1758"/>
              </w:tabs>
              <w:ind w:left="108" w:right="92"/>
              <w:jc w:val="both"/>
              <w:rPr>
                <w:sz w:val="22"/>
              </w:rPr>
            </w:pPr>
            <w:r>
              <w:rPr>
                <w:sz w:val="22"/>
              </w:rPr>
              <w:t>Ethiopian armed actors</w:t>
            </w:r>
            <w:r>
              <w:rPr>
                <w:spacing w:val="40"/>
                <w:sz w:val="22"/>
              </w:rPr>
              <w:t xml:space="preserve"> </w:t>
            </w:r>
            <w:r>
              <w:rPr>
                <w:sz w:val="22"/>
              </w:rPr>
              <w:t xml:space="preserve">fighting against the Ethiopian </w:t>
            </w:r>
            <w:r>
              <w:rPr>
                <w:spacing w:val="-2"/>
                <w:sz w:val="22"/>
              </w:rPr>
              <w:t>federal</w:t>
            </w:r>
            <w:r>
              <w:rPr>
                <w:sz w:val="22"/>
              </w:rPr>
              <w:tab/>
            </w:r>
            <w:r>
              <w:rPr>
                <w:spacing w:val="-2"/>
                <w:sz w:val="22"/>
              </w:rPr>
              <w:t xml:space="preserve">government; </w:t>
            </w:r>
            <w:r>
              <w:rPr>
                <w:sz w:val="22"/>
              </w:rPr>
              <w:t>operationally</w:t>
            </w:r>
            <w:r>
              <w:rPr>
                <w:spacing w:val="61"/>
                <w:w w:val="150"/>
                <w:sz w:val="22"/>
              </w:rPr>
              <w:t xml:space="preserve"> </w:t>
            </w:r>
            <w:r>
              <w:rPr>
                <w:sz w:val="22"/>
              </w:rPr>
              <w:t>allied</w:t>
            </w:r>
            <w:r>
              <w:rPr>
                <w:spacing w:val="64"/>
                <w:w w:val="150"/>
                <w:sz w:val="22"/>
              </w:rPr>
              <w:t xml:space="preserve"> </w:t>
            </w:r>
            <w:r>
              <w:rPr>
                <w:sz w:val="22"/>
              </w:rPr>
              <w:t>with</w:t>
            </w:r>
            <w:r>
              <w:rPr>
                <w:spacing w:val="61"/>
                <w:w w:val="150"/>
                <w:sz w:val="22"/>
              </w:rPr>
              <w:t xml:space="preserve"> </w:t>
            </w:r>
            <w:r>
              <w:rPr>
                <w:spacing w:val="-5"/>
                <w:sz w:val="22"/>
              </w:rPr>
              <w:t>the</w:t>
            </w:r>
          </w:p>
          <w:p w14:paraId="67584658">
            <w:pPr>
              <w:pStyle w:val="11"/>
              <w:spacing w:line="239" w:lineRule="exact"/>
              <w:ind w:left="108"/>
              <w:rPr>
                <w:sz w:val="22"/>
              </w:rPr>
            </w:pPr>
            <w:r>
              <w:rPr>
                <w:spacing w:val="-4"/>
                <w:sz w:val="22"/>
              </w:rPr>
              <w:t>SAF.</w:t>
            </w:r>
          </w:p>
        </w:tc>
        <w:tc>
          <w:tcPr>
            <w:tcW w:w="4395" w:type="dxa"/>
          </w:tcPr>
          <w:p w14:paraId="2650092A">
            <w:pPr>
              <w:pStyle w:val="11"/>
              <w:ind w:left="108" w:right="97"/>
              <w:jc w:val="both"/>
              <w:rPr>
                <w:sz w:val="22"/>
              </w:rPr>
            </w:pPr>
            <w:r>
              <w:rPr>
                <w:sz w:val="22"/>
              </w:rPr>
              <w:t>Historically concentrated in Wad Madani; a significant portion has since been redeployed southward to the Blue Nile region.</w:t>
            </w:r>
          </w:p>
        </w:tc>
      </w:tr>
    </w:tbl>
    <w:p w14:paraId="6255A6A7">
      <w:pPr>
        <w:spacing w:before="0"/>
        <w:ind w:left="1172" w:right="1173" w:firstLine="0"/>
        <w:jc w:val="center"/>
        <w:rPr>
          <w:i/>
          <w:sz w:val="24"/>
        </w:rPr>
      </w:pPr>
      <w:r>
        <w:rPr>
          <w:b/>
          <w:sz w:val="24"/>
        </w:rPr>
        <w:t>Source:</w:t>
      </w:r>
      <w:r>
        <w:rPr>
          <w:b/>
          <w:spacing w:val="-4"/>
          <w:sz w:val="24"/>
        </w:rPr>
        <w:t xml:space="preserve"> </w:t>
      </w:r>
      <w:r>
        <w:rPr>
          <w:i/>
          <w:sz w:val="24"/>
        </w:rPr>
        <w:t>Field</w:t>
      </w:r>
      <w:r>
        <w:rPr>
          <w:i/>
          <w:spacing w:val="-2"/>
          <w:sz w:val="24"/>
        </w:rPr>
        <w:t xml:space="preserve"> </w:t>
      </w:r>
      <w:r>
        <w:rPr>
          <w:i/>
          <w:sz w:val="24"/>
        </w:rPr>
        <w:t>Survey</w:t>
      </w:r>
      <w:r>
        <w:rPr>
          <w:i/>
          <w:spacing w:val="-3"/>
          <w:sz w:val="24"/>
        </w:rPr>
        <w:t xml:space="preserve"> </w:t>
      </w:r>
      <w:r>
        <w:rPr>
          <w:i/>
          <w:spacing w:val="-2"/>
          <w:sz w:val="24"/>
        </w:rPr>
        <w:t>2026.</w:t>
      </w:r>
    </w:p>
    <w:p w14:paraId="2F0A2A3E">
      <w:pPr>
        <w:pStyle w:val="6"/>
        <w:spacing w:before="42"/>
        <w:rPr>
          <w:i/>
        </w:rPr>
      </w:pPr>
    </w:p>
    <w:p w14:paraId="6247C12D">
      <w:pPr>
        <w:pStyle w:val="3"/>
        <w:numPr>
          <w:ilvl w:val="1"/>
          <w:numId w:val="3"/>
        </w:numPr>
        <w:tabs>
          <w:tab w:val="left" w:pos="660"/>
        </w:tabs>
        <w:spacing w:before="1" w:after="0" w:line="240" w:lineRule="auto"/>
        <w:ind w:left="660" w:right="0" w:hanging="300"/>
        <w:jc w:val="left"/>
        <w:rPr>
          <w:u w:val="single"/>
        </w:rPr>
      </w:pPr>
      <w:r>
        <w:rPr>
          <w:spacing w:val="-2"/>
          <w:u w:val="single"/>
        </w:rPr>
        <w:t xml:space="preserve"> </w:t>
      </w:r>
      <w:r>
        <w:rPr>
          <w:u w:val="single"/>
        </w:rPr>
        <w:t>​Detailed</w:t>
      </w:r>
      <w:r>
        <w:rPr>
          <w:spacing w:val="-3"/>
          <w:u w:val="single"/>
        </w:rPr>
        <w:t xml:space="preserve"> </w:t>
      </w:r>
      <w:r>
        <w:rPr>
          <w:u w:val="single"/>
        </w:rPr>
        <w:t>Analysis</w:t>
      </w:r>
      <w:r>
        <w:rPr>
          <w:spacing w:val="-2"/>
          <w:u w:val="single"/>
        </w:rPr>
        <w:t xml:space="preserve"> </w:t>
      </w:r>
      <w:r>
        <w:rPr>
          <w:u w:val="single"/>
        </w:rPr>
        <w:t>of</w:t>
      </w:r>
      <w:r>
        <w:rPr>
          <w:spacing w:val="-2"/>
          <w:u w:val="single"/>
        </w:rPr>
        <w:t xml:space="preserve"> </w:t>
      </w:r>
      <w:r>
        <w:rPr>
          <w:u w:val="single"/>
        </w:rPr>
        <w:t>Non-State</w:t>
      </w:r>
      <w:r>
        <w:rPr>
          <w:spacing w:val="-2"/>
          <w:u w:val="single"/>
        </w:rPr>
        <w:t xml:space="preserve"> </w:t>
      </w:r>
      <w:r>
        <w:rPr>
          <w:u w:val="single"/>
        </w:rPr>
        <w:t>Armed</w:t>
      </w:r>
      <w:r>
        <w:rPr>
          <w:spacing w:val="-2"/>
          <w:u w:val="single"/>
        </w:rPr>
        <w:t xml:space="preserve"> Factions</w:t>
      </w:r>
    </w:p>
    <w:p w14:paraId="1B4337B6">
      <w:pPr>
        <w:pStyle w:val="10"/>
        <w:numPr>
          <w:ilvl w:val="2"/>
          <w:numId w:val="3"/>
        </w:numPr>
        <w:tabs>
          <w:tab w:val="left" w:pos="900"/>
        </w:tabs>
        <w:spacing w:before="0" w:after="0" w:line="240" w:lineRule="auto"/>
        <w:ind w:left="900" w:right="0" w:hanging="540"/>
        <w:jc w:val="left"/>
        <w:rPr>
          <w:b/>
          <w:sz w:val="24"/>
        </w:rPr>
      </w:pPr>
      <w:r>
        <w:rPr>
          <w:b/>
          <w:sz w:val="24"/>
        </w:rPr>
        <w:t>The</w:t>
      </w:r>
      <w:r>
        <w:rPr>
          <w:b/>
          <w:spacing w:val="-4"/>
          <w:sz w:val="24"/>
        </w:rPr>
        <w:t xml:space="preserve"> </w:t>
      </w:r>
      <w:r>
        <w:rPr>
          <w:b/>
          <w:sz w:val="24"/>
        </w:rPr>
        <w:t>Sudan</w:t>
      </w:r>
      <w:r>
        <w:rPr>
          <w:b/>
          <w:spacing w:val="-4"/>
          <w:sz w:val="24"/>
        </w:rPr>
        <w:t xml:space="preserve"> </w:t>
      </w:r>
      <w:r>
        <w:rPr>
          <w:b/>
          <w:sz w:val="24"/>
        </w:rPr>
        <w:t>Shield</w:t>
      </w:r>
      <w:r>
        <w:rPr>
          <w:b/>
          <w:spacing w:val="-4"/>
          <w:sz w:val="24"/>
        </w:rPr>
        <w:t xml:space="preserve"> </w:t>
      </w:r>
      <w:r>
        <w:rPr>
          <w:b/>
          <w:sz w:val="24"/>
        </w:rPr>
        <w:t>Forces</w:t>
      </w:r>
      <w:r>
        <w:rPr>
          <w:b/>
          <w:spacing w:val="-4"/>
          <w:sz w:val="24"/>
        </w:rPr>
        <w:t xml:space="preserve"> (SSF)</w:t>
      </w:r>
    </w:p>
    <w:p w14:paraId="2A715526">
      <w:pPr>
        <w:pStyle w:val="6"/>
        <w:spacing w:before="4"/>
        <w:rPr>
          <w:b/>
        </w:rPr>
      </w:pPr>
    </w:p>
    <w:p w14:paraId="314ADC0E">
      <w:pPr>
        <w:pStyle w:val="10"/>
        <w:numPr>
          <w:ilvl w:val="3"/>
          <w:numId w:val="3"/>
        </w:numPr>
        <w:tabs>
          <w:tab w:val="left" w:pos="1080"/>
        </w:tabs>
        <w:spacing w:before="0" w:after="0" w:line="240" w:lineRule="auto"/>
        <w:ind w:left="1080" w:right="360" w:hanging="360"/>
        <w:jc w:val="both"/>
        <w:rPr>
          <w:sz w:val="24"/>
        </w:rPr>
      </w:pPr>
      <w:r>
        <w:rPr>
          <w:b/>
          <w:sz w:val="24"/>
        </w:rPr>
        <w:t xml:space="preserve">Operational Status: </w:t>
      </w:r>
      <w:r>
        <w:rPr>
          <w:sz w:val="24"/>
        </w:rPr>
        <w:t>Tactical / SAF Co-belligerent (Following the high-profile October 2024 defection of its top commander).</w:t>
      </w:r>
    </w:p>
    <w:p w14:paraId="0E5E4F14">
      <w:pPr>
        <w:pStyle w:val="10"/>
        <w:numPr>
          <w:ilvl w:val="3"/>
          <w:numId w:val="3"/>
        </w:numPr>
        <w:tabs>
          <w:tab w:val="left" w:pos="1080"/>
          <w:tab w:val="left" w:pos="1139"/>
        </w:tabs>
        <w:spacing w:before="0" w:after="0" w:line="240" w:lineRule="auto"/>
        <w:ind w:left="1080" w:right="358" w:hanging="360"/>
        <w:jc w:val="both"/>
        <w:rPr>
          <w:sz w:val="24"/>
        </w:rPr>
      </w:pPr>
      <w:r>
        <w:rPr>
          <w:b/>
          <w:sz w:val="24"/>
        </w:rPr>
        <w:t>Socio</w:t>
      </w:r>
      <w:r>
        <w:rPr>
          <w:b/>
          <w:spacing w:val="-4"/>
          <w:sz w:val="24"/>
        </w:rPr>
        <w:t xml:space="preserve"> </w:t>
      </w:r>
      <w:r>
        <w:rPr>
          <w:b/>
          <w:sz w:val="24"/>
        </w:rPr>
        <w:t xml:space="preserve">-Tribal Alignment: </w:t>
      </w:r>
      <w:r>
        <w:rPr>
          <w:sz w:val="24"/>
        </w:rPr>
        <w:t>Deeply anchored in the Arab communities of the Al-Butana plain, with primary kinship links to the Shukriya tribe. Strength is estimated between 35,000 and 75,000 mobilized fighters depending on baseline campaign fluxes (ACSS 2025).</w:t>
      </w:r>
    </w:p>
    <w:p w14:paraId="0D66F6C1">
      <w:pPr>
        <w:pStyle w:val="10"/>
        <w:numPr>
          <w:ilvl w:val="3"/>
          <w:numId w:val="3"/>
        </w:numPr>
        <w:tabs>
          <w:tab w:val="left" w:pos="1080"/>
        </w:tabs>
        <w:spacing w:before="0" w:after="0" w:line="240" w:lineRule="auto"/>
        <w:ind w:left="1080" w:right="358" w:hanging="360"/>
        <w:jc w:val="both"/>
        <w:rPr>
          <w:sz w:val="24"/>
        </w:rPr>
      </w:pPr>
      <w:r>
        <w:rPr>
          <w:b/>
          <w:sz w:val="24"/>
        </w:rPr>
        <w:t xml:space="preserve">Militia Re-makeup: </w:t>
      </w:r>
      <w:r>
        <w:rPr>
          <w:sz w:val="24"/>
        </w:rPr>
        <w:t>The SSF represents the clearest example of proxy volatility. Moving strategically from an independent regional interest group to the operational vanguard for the RSF's 2023 assault on Wad Madani, its late-2024 realignment back to the SAF was a calculated maneuver to maintain localized territorial dominance rather than an act of institutional loyalty.</w:t>
      </w:r>
    </w:p>
    <w:p w14:paraId="434C51CA">
      <w:pPr>
        <w:pStyle w:val="10"/>
        <w:numPr>
          <w:ilvl w:val="3"/>
          <w:numId w:val="3"/>
        </w:numPr>
        <w:tabs>
          <w:tab w:val="left" w:pos="1080"/>
        </w:tabs>
        <w:spacing w:before="0" w:after="0" w:line="240" w:lineRule="auto"/>
        <w:ind w:left="1080" w:right="359" w:hanging="360"/>
        <w:jc w:val="both"/>
        <w:rPr>
          <w:sz w:val="24"/>
        </w:rPr>
      </w:pPr>
      <w:r>
        <w:rPr>
          <w:b/>
          <w:sz w:val="24"/>
        </w:rPr>
        <w:t xml:space="preserve">Hybrid Security Ecosystem: </w:t>
      </w:r>
      <w:r>
        <w:rPr>
          <w:sz w:val="24"/>
        </w:rPr>
        <w:t>Under current command consolidation phases, the lines between formal SAF elements and the SSF have evaporated. The SSF operates with broad military immunity, managing commercial transport checkpoints and taxing the passage of vital goods.</w:t>
      </w:r>
    </w:p>
    <w:p w14:paraId="52F08FCC">
      <w:pPr>
        <w:pStyle w:val="10"/>
        <w:numPr>
          <w:ilvl w:val="3"/>
          <w:numId w:val="3"/>
        </w:numPr>
        <w:tabs>
          <w:tab w:val="left" w:pos="1080"/>
        </w:tabs>
        <w:spacing w:before="0" w:after="0" w:line="240" w:lineRule="auto"/>
        <w:ind w:left="1080" w:right="356" w:hanging="360"/>
        <w:jc w:val="both"/>
        <w:rPr>
          <w:sz w:val="24"/>
        </w:rPr>
      </w:pPr>
      <w:r>
        <w:rPr>
          <w:b/>
          <w:sz w:val="24"/>
        </w:rPr>
        <w:t xml:space="preserve">Micro-Political Dynamics: </w:t>
      </w:r>
      <w:r>
        <w:rPr>
          <w:sz w:val="24"/>
        </w:rPr>
        <w:t>The SSF has directly weaponized local agrarian grievances. It has launched targeted raids against historically marginalized Kanabi communities under the pretext</w:t>
      </w:r>
    </w:p>
    <w:p w14:paraId="0CD09BEA">
      <w:pPr>
        <w:pStyle w:val="10"/>
        <w:spacing w:after="0" w:line="240" w:lineRule="auto"/>
        <w:jc w:val="both"/>
        <w:rPr>
          <w:sz w:val="24"/>
        </w:rPr>
        <w:sectPr>
          <w:type w:val="continuous"/>
          <w:pgSz w:w="12240" w:h="15840"/>
          <w:pgMar w:top="1360" w:right="720" w:bottom="1240" w:left="720" w:header="72" w:footer="966" w:gutter="0"/>
          <w:cols w:space="720" w:num="1"/>
        </w:sectPr>
      </w:pPr>
    </w:p>
    <w:p w14:paraId="07154A18">
      <w:pPr>
        <w:pStyle w:val="6"/>
        <w:ind w:left="1080"/>
      </w:pPr>
      <w:r>
        <w:t>of</w:t>
      </w:r>
      <w:r>
        <w:rPr>
          <w:spacing w:val="40"/>
        </w:rPr>
        <w:t xml:space="preserve"> </w:t>
      </w:r>
      <w:r>
        <w:t>counterinsurgency</w:t>
      </w:r>
      <w:r>
        <w:rPr>
          <w:spacing w:val="40"/>
        </w:rPr>
        <w:t xml:space="preserve"> </w:t>
      </w:r>
      <w:r>
        <w:t>clearing</w:t>
      </w:r>
      <w:r>
        <w:rPr>
          <w:spacing w:val="40"/>
        </w:rPr>
        <w:t xml:space="preserve"> </w:t>
      </w:r>
      <w:r>
        <w:t>campaigns,</w:t>
      </w:r>
      <w:r>
        <w:rPr>
          <w:spacing w:val="40"/>
        </w:rPr>
        <w:t xml:space="preserve"> </w:t>
      </w:r>
      <w:r>
        <w:t>triggering</w:t>
      </w:r>
      <w:r>
        <w:rPr>
          <w:spacing w:val="40"/>
        </w:rPr>
        <w:t xml:space="preserve"> </w:t>
      </w:r>
      <w:r>
        <w:t>massive</w:t>
      </w:r>
      <w:r>
        <w:rPr>
          <w:spacing w:val="40"/>
        </w:rPr>
        <w:t xml:space="preserve"> </w:t>
      </w:r>
      <w:r>
        <w:t>cycles</w:t>
      </w:r>
      <w:r>
        <w:rPr>
          <w:spacing w:val="40"/>
        </w:rPr>
        <w:t xml:space="preserve"> </w:t>
      </w:r>
      <w:r>
        <w:t>of</w:t>
      </w:r>
      <w:r>
        <w:rPr>
          <w:spacing w:val="40"/>
        </w:rPr>
        <w:t xml:space="preserve"> </w:t>
      </w:r>
      <w:r>
        <w:t>displacement,</w:t>
      </w:r>
      <w:r>
        <w:rPr>
          <w:spacing w:val="40"/>
        </w:rPr>
        <w:t xml:space="preserve"> </w:t>
      </w:r>
      <w:r>
        <w:t>human rights violations, and documented executions, particularly across eastern Al-Gezira villages.</w:t>
      </w:r>
    </w:p>
    <w:p w14:paraId="7A7D6E88">
      <w:pPr>
        <w:pStyle w:val="3"/>
        <w:numPr>
          <w:ilvl w:val="2"/>
          <w:numId w:val="3"/>
        </w:numPr>
        <w:tabs>
          <w:tab w:val="left" w:pos="900"/>
        </w:tabs>
        <w:spacing w:before="268" w:after="0" w:line="240" w:lineRule="auto"/>
        <w:ind w:left="900" w:right="0" w:hanging="540"/>
        <w:jc w:val="left"/>
      </w:pPr>
      <w:r>
        <w:t>The</w:t>
      </w:r>
      <w:r>
        <w:rPr>
          <w:spacing w:val="-5"/>
        </w:rPr>
        <w:t xml:space="preserve"> </w:t>
      </w:r>
      <w:r>
        <w:t>Justice</w:t>
      </w:r>
      <w:r>
        <w:rPr>
          <w:spacing w:val="-3"/>
        </w:rPr>
        <w:t xml:space="preserve"> </w:t>
      </w:r>
      <w:r>
        <w:t>and</w:t>
      </w:r>
      <w:r>
        <w:rPr>
          <w:spacing w:val="-1"/>
        </w:rPr>
        <w:t xml:space="preserve"> </w:t>
      </w:r>
      <w:r>
        <w:t>Equality</w:t>
      </w:r>
      <w:r>
        <w:rPr>
          <w:spacing w:val="-2"/>
        </w:rPr>
        <w:t xml:space="preserve"> </w:t>
      </w:r>
      <w:r>
        <w:t>Movement</w:t>
      </w:r>
      <w:r>
        <w:rPr>
          <w:spacing w:val="-2"/>
        </w:rPr>
        <w:t xml:space="preserve"> </w:t>
      </w:r>
      <w:r>
        <w:t>(JEM)</w:t>
      </w:r>
      <w:r>
        <w:rPr>
          <w:spacing w:val="1"/>
        </w:rPr>
        <w:t xml:space="preserve"> </w:t>
      </w:r>
      <w:r>
        <w:t>–</w:t>
      </w:r>
      <w:r>
        <w:rPr>
          <w:spacing w:val="-2"/>
        </w:rPr>
        <w:t xml:space="preserve"> </w:t>
      </w:r>
      <w:r>
        <w:t>Splinter</w:t>
      </w:r>
      <w:r>
        <w:rPr>
          <w:spacing w:val="-2"/>
        </w:rPr>
        <w:t xml:space="preserve"> Factions</w:t>
      </w:r>
    </w:p>
    <w:p w14:paraId="424AF327">
      <w:pPr>
        <w:pStyle w:val="6"/>
        <w:spacing w:before="5"/>
        <w:rPr>
          <w:b/>
        </w:rPr>
      </w:pPr>
    </w:p>
    <w:p w14:paraId="164ACEDA">
      <w:pPr>
        <w:pStyle w:val="10"/>
        <w:numPr>
          <w:ilvl w:val="3"/>
          <w:numId w:val="3"/>
        </w:numPr>
        <w:tabs>
          <w:tab w:val="left" w:pos="1080"/>
        </w:tabs>
        <w:spacing w:before="0" w:after="0" w:line="240" w:lineRule="auto"/>
        <w:ind w:left="1080" w:right="361" w:hanging="360"/>
        <w:jc w:val="both"/>
        <w:rPr>
          <w:sz w:val="24"/>
        </w:rPr>
      </w:pPr>
      <w:r>
        <w:rPr>
          <w:b/>
          <w:sz w:val="24"/>
        </w:rPr>
        <w:t>Operational Status:</w:t>
      </w:r>
      <w:r>
        <w:rPr>
          <w:b/>
          <w:spacing w:val="-3"/>
          <w:sz w:val="24"/>
        </w:rPr>
        <w:t xml:space="preserve"> </w:t>
      </w:r>
      <w:r>
        <w:rPr>
          <w:sz w:val="24"/>
        </w:rPr>
        <w:t>Active</w:t>
      </w:r>
      <w:r>
        <w:rPr>
          <w:spacing w:val="-4"/>
          <w:sz w:val="24"/>
        </w:rPr>
        <w:t xml:space="preserve"> </w:t>
      </w:r>
      <w:r>
        <w:rPr>
          <w:sz w:val="24"/>
        </w:rPr>
        <w:t>Co-belligerent</w:t>
      </w:r>
      <w:r>
        <w:rPr>
          <w:spacing w:val="-2"/>
          <w:sz w:val="24"/>
        </w:rPr>
        <w:t xml:space="preserve"> </w:t>
      </w:r>
      <w:r>
        <w:rPr>
          <w:sz w:val="24"/>
        </w:rPr>
        <w:t>with</w:t>
      </w:r>
      <w:r>
        <w:rPr>
          <w:spacing w:val="-3"/>
          <w:sz w:val="24"/>
        </w:rPr>
        <w:t xml:space="preserve"> </w:t>
      </w:r>
      <w:r>
        <w:rPr>
          <w:sz w:val="24"/>
        </w:rPr>
        <w:t>the</w:t>
      </w:r>
      <w:r>
        <w:rPr>
          <w:spacing w:val="-4"/>
          <w:sz w:val="24"/>
        </w:rPr>
        <w:t xml:space="preserve"> </w:t>
      </w:r>
      <w:r>
        <w:rPr>
          <w:sz w:val="24"/>
        </w:rPr>
        <w:t>SAF</w:t>
      </w:r>
      <w:r>
        <w:rPr>
          <w:spacing w:val="-3"/>
          <w:sz w:val="24"/>
        </w:rPr>
        <w:t xml:space="preserve"> </w:t>
      </w:r>
      <w:r>
        <w:rPr>
          <w:sz w:val="24"/>
        </w:rPr>
        <w:t>(operating</w:t>
      </w:r>
      <w:r>
        <w:rPr>
          <w:spacing w:val="-3"/>
          <w:sz w:val="24"/>
        </w:rPr>
        <w:t xml:space="preserve"> </w:t>
      </w:r>
      <w:r>
        <w:rPr>
          <w:sz w:val="24"/>
        </w:rPr>
        <w:t>under</w:t>
      </w:r>
      <w:r>
        <w:rPr>
          <w:spacing w:val="-1"/>
          <w:sz w:val="24"/>
        </w:rPr>
        <w:t xml:space="preserve"> </w:t>
      </w:r>
      <w:r>
        <w:rPr>
          <w:sz w:val="24"/>
        </w:rPr>
        <w:t>the</w:t>
      </w:r>
      <w:r>
        <w:rPr>
          <w:spacing w:val="-3"/>
          <w:sz w:val="24"/>
        </w:rPr>
        <w:t xml:space="preserve"> </w:t>
      </w:r>
      <w:r>
        <w:rPr>
          <w:sz w:val="24"/>
        </w:rPr>
        <w:t>Darfur</w:t>
      </w:r>
      <w:r>
        <w:rPr>
          <w:spacing w:val="-5"/>
          <w:sz w:val="24"/>
        </w:rPr>
        <w:t xml:space="preserve"> </w:t>
      </w:r>
      <w:r>
        <w:rPr>
          <w:sz w:val="24"/>
        </w:rPr>
        <w:t>Joint</w:t>
      </w:r>
      <w:r>
        <w:rPr>
          <w:spacing w:val="-2"/>
          <w:sz w:val="24"/>
        </w:rPr>
        <w:t xml:space="preserve"> </w:t>
      </w:r>
      <w:r>
        <w:rPr>
          <w:sz w:val="24"/>
        </w:rPr>
        <w:t xml:space="preserve">Force </w:t>
      </w:r>
      <w:r>
        <w:rPr>
          <w:spacing w:val="-2"/>
          <w:sz w:val="24"/>
        </w:rPr>
        <w:t>umbrella).</w:t>
      </w:r>
    </w:p>
    <w:p w14:paraId="3A07A54C">
      <w:pPr>
        <w:pStyle w:val="10"/>
        <w:numPr>
          <w:ilvl w:val="3"/>
          <w:numId w:val="3"/>
        </w:numPr>
        <w:tabs>
          <w:tab w:val="left" w:pos="1080"/>
        </w:tabs>
        <w:spacing w:before="0" w:after="0" w:line="240" w:lineRule="auto"/>
        <w:ind w:left="1080" w:right="361" w:hanging="360"/>
        <w:jc w:val="both"/>
        <w:rPr>
          <w:sz w:val="24"/>
        </w:rPr>
      </w:pPr>
      <w:r>
        <w:rPr>
          <w:b/>
          <w:sz w:val="24"/>
        </w:rPr>
        <w:t xml:space="preserve">Socio-Tribal Alignment: </w:t>
      </w:r>
      <w:r>
        <w:rPr>
          <w:sz w:val="24"/>
        </w:rPr>
        <w:t>Historically rooted in Darfuri peripheries (primarily Zaghawa and associated non-Arab networks), operating via localized diaspora clusters within the Kanabi settlements and mobilized security remnants within Central Sudan.</w:t>
      </w:r>
    </w:p>
    <w:p w14:paraId="35BFDC2F">
      <w:pPr>
        <w:pStyle w:val="10"/>
        <w:numPr>
          <w:ilvl w:val="3"/>
          <w:numId w:val="3"/>
        </w:numPr>
        <w:tabs>
          <w:tab w:val="left" w:pos="1080"/>
        </w:tabs>
        <w:spacing w:before="0" w:after="0" w:line="240" w:lineRule="auto"/>
        <w:ind w:left="1080" w:right="359" w:hanging="360"/>
        <w:jc w:val="both"/>
        <w:rPr>
          <w:sz w:val="24"/>
        </w:rPr>
      </w:pPr>
      <w:r>
        <w:rPr>
          <w:b/>
          <w:sz w:val="24"/>
        </w:rPr>
        <w:t xml:space="preserve">Militia Re-makeup: </w:t>
      </w:r>
      <w:r>
        <w:rPr>
          <w:sz w:val="24"/>
        </w:rPr>
        <w:t>JEM's presence in Al-Gezira underscores its shift from a peripheral insurgent group fighting</w:t>
      </w:r>
      <w:r>
        <w:rPr>
          <w:spacing w:val="-1"/>
          <w:sz w:val="24"/>
        </w:rPr>
        <w:t xml:space="preserve"> </w:t>
      </w:r>
      <w:r>
        <w:rPr>
          <w:sz w:val="24"/>
        </w:rPr>
        <w:t>the Khartoum center into an elite protection force operating hundreds of miles from its traditional geographic theater.</w:t>
      </w:r>
    </w:p>
    <w:p w14:paraId="0175A43C">
      <w:pPr>
        <w:pStyle w:val="10"/>
        <w:numPr>
          <w:ilvl w:val="3"/>
          <w:numId w:val="3"/>
        </w:numPr>
        <w:tabs>
          <w:tab w:val="left" w:pos="1080"/>
        </w:tabs>
        <w:spacing w:before="0" w:after="0" w:line="240" w:lineRule="auto"/>
        <w:ind w:left="1080" w:right="357" w:hanging="360"/>
        <w:jc w:val="both"/>
        <w:rPr>
          <w:sz w:val="24"/>
        </w:rPr>
      </w:pPr>
      <w:r>
        <w:rPr>
          <w:b/>
          <w:sz w:val="24"/>
        </w:rPr>
        <w:t xml:space="preserve">Hybrid Security Ecosystem: </w:t>
      </w:r>
      <w:r>
        <w:rPr>
          <w:sz w:val="24"/>
        </w:rPr>
        <w:t>JEM operates within a joint operational command structure alongside formal SAF remnants. It effectively validates its presence through formal military coordination while maintaining independent command lines and separate logistical supply</w:t>
      </w:r>
      <w:r>
        <w:rPr>
          <w:spacing w:val="40"/>
          <w:sz w:val="24"/>
        </w:rPr>
        <w:t xml:space="preserve"> </w:t>
      </w:r>
      <w:r>
        <w:rPr>
          <w:spacing w:val="-2"/>
          <w:sz w:val="24"/>
        </w:rPr>
        <w:t>chains.</w:t>
      </w:r>
    </w:p>
    <w:p w14:paraId="703551E9">
      <w:pPr>
        <w:pStyle w:val="10"/>
        <w:numPr>
          <w:ilvl w:val="3"/>
          <w:numId w:val="3"/>
        </w:numPr>
        <w:tabs>
          <w:tab w:val="left" w:pos="1080"/>
        </w:tabs>
        <w:spacing w:before="0" w:after="0" w:line="240" w:lineRule="auto"/>
        <w:ind w:left="1080" w:right="355" w:hanging="360"/>
        <w:jc w:val="both"/>
        <w:rPr>
          <w:sz w:val="24"/>
        </w:rPr>
      </w:pPr>
      <w:r>
        <w:rPr>
          <w:b/>
          <w:sz w:val="24"/>
        </w:rPr>
        <w:t xml:space="preserve">Micro-Political Dynamics: </w:t>
      </w:r>
      <w:r>
        <w:rPr>
          <w:sz w:val="24"/>
        </w:rPr>
        <w:t>The deployment of JEM elements into the riverine and agrarian environment</w:t>
      </w:r>
      <w:r>
        <w:rPr>
          <w:spacing w:val="-3"/>
          <w:sz w:val="24"/>
        </w:rPr>
        <w:t xml:space="preserve"> </w:t>
      </w:r>
      <w:r>
        <w:rPr>
          <w:sz w:val="24"/>
        </w:rPr>
        <w:t>of</w:t>
      </w:r>
      <w:r>
        <w:rPr>
          <w:spacing w:val="-3"/>
          <w:sz w:val="24"/>
        </w:rPr>
        <w:t xml:space="preserve"> </w:t>
      </w:r>
      <w:r>
        <w:rPr>
          <w:sz w:val="24"/>
        </w:rPr>
        <w:t>Al-Gezira</w:t>
      </w:r>
      <w:r>
        <w:rPr>
          <w:spacing w:val="-4"/>
          <w:sz w:val="24"/>
        </w:rPr>
        <w:t xml:space="preserve"> </w:t>
      </w:r>
      <w:r>
        <w:rPr>
          <w:sz w:val="24"/>
        </w:rPr>
        <w:t>has</w:t>
      </w:r>
      <w:r>
        <w:rPr>
          <w:spacing w:val="-4"/>
          <w:sz w:val="24"/>
        </w:rPr>
        <w:t xml:space="preserve"> </w:t>
      </w:r>
      <w:r>
        <w:rPr>
          <w:sz w:val="24"/>
        </w:rPr>
        <w:t>introduced</w:t>
      </w:r>
      <w:r>
        <w:rPr>
          <w:spacing w:val="-3"/>
          <w:sz w:val="24"/>
        </w:rPr>
        <w:t xml:space="preserve"> </w:t>
      </w:r>
      <w:r>
        <w:rPr>
          <w:sz w:val="24"/>
        </w:rPr>
        <w:t>new</w:t>
      </w:r>
      <w:r>
        <w:rPr>
          <w:spacing w:val="-4"/>
          <w:sz w:val="24"/>
        </w:rPr>
        <w:t xml:space="preserve"> </w:t>
      </w:r>
      <w:r>
        <w:rPr>
          <w:sz w:val="24"/>
        </w:rPr>
        <w:t>horizontal</w:t>
      </w:r>
      <w:r>
        <w:rPr>
          <w:spacing w:val="-3"/>
          <w:sz w:val="24"/>
        </w:rPr>
        <w:t xml:space="preserve"> </w:t>
      </w:r>
      <w:r>
        <w:rPr>
          <w:sz w:val="24"/>
        </w:rPr>
        <w:t>frictions.</w:t>
      </w:r>
      <w:r>
        <w:rPr>
          <w:spacing w:val="-3"/>
          <w:sz w:val="24"/>
        </w:rPr>
        <w:t xml:space="preserve"> </w:t>
      </w:r>
      <w:r>
        <w:rPr>
          <w:sz w:val="24"/>
        </w:rPr>
        <w:t>Local</w:t>
      </w:r>
      <w:r>
        <w:rPr>
          <w:spacing w:val="-3"/>
          <w:sz w:val="24"/>
        </w:rPr>
        <w:t xml:space="preserve"> </w:t>
      </w:r>
      <w:r>
        <w:rPr>
          <w:sz w:val="24"/>
        </w:rPr>
        <w:t>communities</w:t>
      </w:r>
      <w:r>
        <w:rPr>
          <w:spacing w:val="-4"/>
          <w:sz w:val="24"/>
        </w:rPr>
        <w:t xml:space="preserve"> </w:t>
      </w:r>
      <w:r>
        <w:rPr>
          <w:sz w:val="24"/>
        </w:rPr>
        <w:t>often</w:t>
      </w:r>
      <w:r>
        <w:rPr>
          <w:spacing w:val="-3"/>
          <w:sz w:val="24"/>
        </w:rPr>
        <w:t xml:space="preserve"> </w:t>
      </w:r>
      <w:r>
        <w:rPr>
          <w:sz w:val="24"/>
        </w:rPr>
        <w:t>view JEM</w:t>
      </w:r>
      <w:r>
        <w:rPr>
          <w:spacing w:val="-4"/>
          <w:sz w:val="24"/>
        </w:rPr>
        <w:t xml:space="preserve"> </w:t>
      </w:r>
      <w:r>
        <w:rPr>
          <w:sz w:val="24"/>
        </w:rPr>
        <w:t>elements</w:t>
      </w:r>
      <w:r>
        <w:rPr>
          <w:spacing w:val="-4"/>
          <w:sz w:val="24"/>
        </w:rPr>
        <w:t xml:space="preserve"> </w:t>
      </w:r>
      <w:r>
        <w:rPr>
          <w:sz w:val="24"/>
        </w:rPr>
        <w:t>as</w:t>
      </w:r>
      <w:r>
        <w:rPr>
          <w:spacing w:val="-1"/>
          <w:sz w:val="24"/>
        </w:rPr>
        <w:t xml:space="preserve"> </w:t>
      </w:r>
      <w:r>
        <w:rPr>
          <w:sz w:val="24"/>
        </w:rPr>
        <w:t>external</w:t>
      </w:r>
      <w:r>
        <w:rPr>
          <w:spacing w:val="-3"/>
          <w:sz w:val="24"/>
        </w:rPr>
        <w:t xml:space="preserve"> </w:t>
      </w:r>
      <w:r>
        <w:rPr>
          <w:sz w:val="24"/>
        </w:rPr>
        <w:t>armed</w:t>
      </w:r>
      <w:r>
        <w:rPr>
          <w:spacing w:val="-3"/>
          <w:sz w:val="24"/>
        </w:rPr>
        <w:t xml:space="preserve"> </w:t>
      </w:r>
      <w:r>
        <w:rPr>
          <w:sz w:val="24"/>
        </w:rPr>
        <w:t>competitors</w:t>
      </w:r>
      <w:r>
        <w:rPr>
          <w:spacing w:val="-4"/>
          <w:sz w:val="24"/>
        </w:rPr>
        <w:t xml:space="preserve"> </w:t>
      </w:r>
      <w:r>
        <w:rPr>
          <w:sz w:val="24"/>
        </w:rPr>
        <w:t>seeking</w:t>
      </w:r>
      <w:r>
        <w:rPr>
          <w:spacing w:val="-3"/>
          <w:sz w:val="24"/>
        </w:rPr>
        <w:t xml:space="preserve"> </w:t>
      </w:r>
      <w:r>
        <w:rPr>
          <w:sz w:val="24"/>
        </w:rPr>
        <w:t>a</w:t>
      </w:r>
      <w:r>
        <w:rPr>
          <w:spacing w:val="-3"/>
          <w:sz w:val="24"/>
        </w:rPr>
        <w:t xml:space="preserve"> </w:t>
      </w:r>
      <w:r>
        <w:rPr>
          <w:sz w:val="24"/>
        </w:rPr>
        <w:t>permanent</w:t>
      </w:r>
      <w:r>
        <w:rPr>
          <w:spacing w:val="-3"/>
          <w:sz w:val="24"/>
        </w:rPr>
        <w:t xml:space="preserve"> </w:t>
      </w:r>
      <w:r>
        <w:rPr>
          <w:sz w:val="24"/>
        </w:rPr>
        <w:t>foothold</w:t>
      </w:r>
      <w:r>
        <w:rPr>
          <w:spacing w:val="-1"/>
          <w:sz w:val="24"/>
        </w:rPr>
        <w:t xml:space="preserve"> </w:t>
      </w:r>
      <w:r>
        <w:rPr>
          <w:sz w:val="24"/>
        </w:rPr>
        <w:t>in</w:t>
      </w:r>
      <w:r>
        <w:rPr>
          <w:spacing w:val="-3"/>
          <w:sz w:val="24"/>
        </w:rPr>
        <w:t xml:space="preserve"> </w:t>
      </w:r>
      <w:r>
        <w:rPr>
          <w:sz w:val="24"/>
        </w:rPr>
        <w:t>the</w:t>
      </w:r>
      <w:r>
        <w:rPr>
          <w:spacing w:val="-4"/>
          <w:sz w:val="24"/>
        </w:rPr>
        <w:t xml:space="preserve"> </w:t>
      </w:r>
      <w:r>
        <w:rPr>
          <w:sz w:val="24"/>
        </w:rPr>
        <w:t>state's</w:t>
      </w:r>
      <w:r>
        <w:rPr>
          <w:spacing w:val="-4"/>
          <w:sz w:val="24"/>
        </w:rPr>
        <w:t xml:space="preserve"> </w:t>
      </w:r>
      <w:r>
        <w:rPr>
          <w:sz w:val="24"/>
        </w:rPr>
        <w:t>post-war commercial administration and agricultural scheme distributions.</w:t>
      </w:r>
    </w:p>
    <w:p w14:paraId="7DEAEC91">
      <w:pPr>
        <w:pStyle w:val="6"/>
      </w:pPr>
    </w:p>
    <w:p w14:paraId="70A80B0D">
      <w:pPr>
        <w:pStyle w:val="3"/>
        <w:numPr>
          <w:ilvl w:val="2"/>
          <w:numId w:val="3"/>
        </w:numPr>
        <w:tabs>
          <w:tab w:val="left" w:pos="900"/>
        </w:tabs>
        <w:spacing w:before="0" w:after="0" w:line="240" w:lineRule="auto"/>
        <w:ind w:left="900" w:right="0" w:hanging="540"/>
        <w:jc w:val="left"/>
      </w:pPr>
      <w:r>
        <w:t>Islamist</w:t>
      </w:r>
      <w:r>
        <w:rPr>
          <w:spacing w:val="-4"/>
        </w:rPr>
        <w:t xml:space="preserve"> </w:t>
      </w:r>
      <w:r>
        <w:t>Factions</w:t>
      </w:r>
      <w:r>
        <w:rPr>
          <w:spacing w:val="-3"/>
        </w:rPr>
        <w:t xml:space="preserve"> </w:t>
      </w:r>
      <w:r>
        <w:t>(The</w:t>
      </w:r>
      <w:r>
        <w:rPr>
          <w:spacing w:val="-3"/>
        </w:rPr>
        <w:t xml:space="preserve"> </w:t>
      </w:r>
      <w:r>
        <w:t>Al-Baraa</w:t>
      </w:r>
      <w:r>
        <w:rPr>
          <w:spacing w:val="-1"/>
        </w:rPr>
        <w:t xml:space="preserve"> </w:t>
      </w:r>
      <w:r>
        <w:t>Ibn</w:t>
      </w:r>
      <w:r>
        <w:rPr>
          <w:spacing w:val="-2"/>
        </w:rPr>
        <w:t xml:space="preserve"> </w:t>
      </w:r>
      <w:r>
        <w:t>Malik</w:t>
      </w:r>
      <w:r>
        <w:rPr>
          <w:spacing w:val="-2"/>
        </w:rPr>
        <w:t xml:space="preserve"> </w:t>
      </w:r>
      <w:r>
        <w:t>Brigade,</w:t>
      </w:r>
      <w:r>
        <w:rPr>
          <w:spacing w:val="-2"/>
        </w:rPr>
        <w:t xml:space="preserve"> </w:t>
      </w:r>
      <w:r>
        <w:t>Ahd ar-Rijal,</w:t>
      </w:r>
      <w:r>
        <w:rPr>
          <w:spacing w:val="-2"/>
        </w:rPr>
        <w:t xml:space="preserve"> </w:t>
      </w:r>
      <w:r>
        <w:t>&amp;</w:t>
      </w:r>
      <w:r>
        <w:rPr>
          <w:spacing w:val="-3"/>
        </w:rPr>
        <w:t xml:space="preserve"> </w:t>
      </w:r>
      <w:r>
        <w:t>Popular</w:t>
      </w:r>
      <w:r>
        <w:rPr>
          <w:spacing w:val="-1"/>
        </w:rPr>
        <w:t xml:space="preserve"> </w:t>
      </w:r>
      <w:r>
        <w:rPr>
          <w:spacing w:val="-2"/>
        </w:rPr>
        <w:t>Resistance)</w:t>
      </w:r>
    </w:p>
    <w:p w14:paraId="0A4D1696">
      <w:pPr>
        <w:pStyle w:val="6"/>
        <w:spacing w:before="4"/>
        <w:rPr>
          <w:b/>
        </w:rPr>
      </w:pPr>
    </w:p>
    <w:p w14:paraId="709A28DE">
      <w:pPr>
        <w:pStyle w:val="10"/>
        <w:numPr>
          <w:ilvl w:val="3"/>
          <w:numId w:val="3"/>
        </w:numPr>
        <w:tabs>
          <w:tab w:val="left" w:pos="1080"/>
        </w:tabs>
        <w:spacing w:before="0" w:after="0" w:line="240" w:lineRule="auto"/>
        <w:ind w:left="1080" w:right="358" w:hanging="360"/>
        <w:jc w:val="both"/>
        <w:rPr>
          <w:sz w:val="24"/>
        </w:rPr>
      </w:pPr>
      <w:r>
        <w:rPr>
          <w:b/>
          <w:sz w:val="24"/>
        </w:rPr>
        <w:t xml:space="preserve">Operational Status: </w:t>
      </w:r>
      <w:r>
        <w:rPr>
          <w:sz w:val="24"/>
        </w:rPr>
        <w:t>Embedded within the SAF command structure / Active shadow</w:t>
      </w:r>
      <w:r>
        <w:rPr>
          <w:spacing w:val="40"/>
          <w:sz w:val="24"/>
        </w:rPr>
        <w:t xml:space="preserve"> </w:t>
      </w:r>
      <w:r>
        <w:rPr>
          <w:sz w:val="24"/>
        </w:rPr>
        <w:t>institutional network.</w:t>
      </w:r>
    </w:p>
    <w:p w14:paraId="214C7A4F">
      <w:pPr>
        <w:pStyle w:val="10"/>
        <w:numPr>
          <w:ilvl w:val="3"/>
          <w:numId w:val="3"/>
        </w:numPr>
        <w:tabs>
          <w:tab w:val="left" w:pos="1080"/>
        </w:tabs>
        <w:spacing w:before="0" w:after="0" w:line="240" w:lineRule="auto"/>
        <w:ind w:left="1080" w:right="357" w:hanging="360"/>
        <w:jc w:val="both"/>
        <w:rPr>
          <w:sz w:val="24"/>
        </w:rPr>
      </w:pPr>
      <w:r>
        <w:rPr>
          <w:b/>
          <w:sz w:val="24"/>
        </w:rPr>
        <w:t xml:space="preserve">Socio-Tribal Alignment: </w:t>
      </w:r>
      <w:r>
        <w:rPr>
          <w:sz w:val="24"/>
        </w:rPr>
        <w:t>Trans-ethnic, ideological recruitment drawing heavily from National Islamic Front (NIF) remnants, urban Islamist student unions, and ideologically aligned riverine merchant families.</w:t>
      </w:r>
    </w:p>
    <w:p w14:paraId="3313E572">
      <w:pPr>
        <w:pStyle w:val="10"/>
        <w:numPr>
          <w:ilvl w:val="3"/>
          <w:numId w:val="3"/>
        </w:numPr>
        <w:tabs>
          <w:tab w:val="left" w:pos="1080"/>
        </w:tabs>
        <w:spacing w:before="0" w:after="0" w:line="240" w:lineRule="auto"/>
        <w:ind w:left="1080" w:right="356" w:hanging="360"/>
        <w:jc w:val="both"/>
        <w:rPr>
          <w:sz w:val="24"/>
        </w:rPr>
      </w:pPr>
      <w:r>
        <w:rPr>
          <w:b/>
          <w:sz w:val="24"/>
        </w:rPr>
        <w:t xml:space="preserve">Militia Re-makeup: </w:t>
      </w:r>
      <w:r>
        <w:rPr>
          <w:sz w:val="24"/>
        </w:rPr>
        <w:t>Factions like the Al-Baraa Ibn Malik Brigade represent an institutional insurgent network that has re-emerged to fill the ideological and operational vacuum within the formal military state apparatus.</w:t>
      </w:r>
    </w:p>
    <w:p w14:paraId="3FB9EC94">
      <w:pPr>
        <w:pStyle w:val="10"/>
        <w:numPr>
          <w:ilvl w:val="3"/>
          <w:numId w:val="3"/>
        </w:numPr>
        <w:tabs>
          <w:tab w:val="left" w:pos="1080"/>
        </w:tabs>
        <w:spacing w:before="0" w:after="0" w:line="240" w:lineRule="auto"/>
        <w:ind w:left="1080" w:right="358" w:hanging="360"/>
        <w:jc w:val="both"/>
        <w:rPr>
          <w:sz w:val="24"/>
        </w:rPr>
      </w:pPr>
      <w:r>
        <w:rPr>
          <w:b/>
          <w:sz w:val="24"/>
        </w:rPr>
        <w:t xml:space="preserve">Hybrid Security Ecosystem: </w:t>
      </w:r>
      <w:r>
        <w:rPr>
          <w:sz w:val="24"/>
        </w:rPr>
        <w:t>These brigades maintain an intensely symbiotic yet tense relationship with formal SAF generals. They provide highly motivated shock troops for urban counter-offensives, yet their deep institutional loyalties lie with their own ideological center rather than formal constitutional authorities.</w:t>
      </w:r>
    </w:p>
    <w:p w14:paraId="1964464B">
      <w:pPr>
        <w:pStyle w:val="10"/>
        <w:numPr>
          <w:ilvl w:val="3"/>
          <w:numId w:val="3"/>
        </w:numPr>
        <w:tabs>
          <w:tab w:val="left" w:pos="1080"/>
        </w:tabs>
        <w:spacing w:before="0" w:after="0" w:line="240" w:lineRule="auto"/>
        <w:ind w:left="1080" w:right="358" w:hanging="360"/>
        <w:jc w:val="both"/>
        <w:rPr>
          <w:sz w:val="24"/>
        </w:rPr>
      </w:pPr>
      <w:r>
        <w:rPr>
          <w:b/>
          <w:sz w:val="24"/>
        </w:rPr>
        <w:t xml:space="preserve">Micro-Political Dynamics: </w:t>
      </w:r>
      <w:r>
        <w:rPr>
          <w:sz w:val="24"/>
        </w:rPr>
        <w:t>In Al-Gezira's villages, Islamist factions utilize the rhetoric of "Popular Resistance" (</w:t>
      </w:r>
      <w:r>
        <w:rPr>
          <w:i/>
          <w:sz w:val="24"/>
        </w:rPr>
        <w:t>Al-Muqawama al-Sha'biya</w:t>
      </w:r>
      <w:r>
        <w:rPr>
          <w:sz w:val="24"/>
        </w:rPr>
        <w:t>) to aggressively mobilize and arm local youth. This top-down distribution of weaponry has altered traditional, elder-led dispute resolution systems. It empowers younger, radicalized local actors to override historic agrarian property rights and settle local family or land feuds through ideological alignment.</w:t>
      </w:r>
    </w:p>
    <w:p w14:paraId="48557551">
      <w:pPr>
        <w:pStyle w:val="6"/>
      </w:pPr>
    </w:p>
    <w:p w14:paraId="4B9BA691">
      <w:pPr>
        <w:pStyle w:val="10"/>
        <w:numPr>
          <w:ilvl w:val="2"/>
          <w:numId w:val="3"/>
        </w:numPr>
        <w:tabs>
          <w:tab w:val="left" w:pos="856"/>
        </w:tabs>
        <w:spacing w:before="0" w:after="0" w:line="240" w:lineRule="auto"/>
        <w:ind w:left="856" w:right="0" w:hanging="496"/>
        <w:jc w:val="left"/>
        <w:rPr>
          <w:i/>
          <w:color w:val="365F91"/>
          <w:sz w:val="22"/>
        </w:rPr>
      </w:pPr>
      <w:r>
        <w:rPr>
          <w:i/>
          <w:color w:val="365F91"/>
          <w:sz w:val="22"/>
        </w:rPr>
        <w:t>Heterogeneous</w:t>
      </w:r>
      <w:r>
        <w:rPr>
          <w:i/>
          <w:color w:val="365F91"/>
          <w:spacing w:val="-6"/>
          <w:sz w:val="22"/>
        </w:rPr>
        <w:t xml:space="preserve"> </w:t>
      </w:r>
      <w:r>
        <w:rPr>
          <w:i/>
          <w:color w:val="365F91"/>
          <w:sz w:val="22"/>
        </w:rPr>
        <w:t>Tribal</w:t>
      </w:r>
      <w:r>
        <w:rPr>
          <w:i/>
          <w:color w:val="365F91"/>
          <w:spacing w:val="-6"/>
          <w:sz w:val="22"/>
        </w:rPr>
        <w:t xml:space="preserve"> </w:t>
      </w:r>
      <w:r>
        <w:rPr>
          <w:i/>
          <w:color w:val="365F91"/>
          <w:sz w:val="22"/>
        </w:rPr>
        <w:t>Armed</w:t>
      </w:r>
      <w:r>
        <w:rPr>
          <w:i/>
          <w:color w:val="365F91"/>
          <w:spacing w:val="-5"/>
          <w:sz w:val="22"/>
        </w:rPr>
        <w:t xml:space="preserve"> </w:t>
      </w:r>
      <w:r>
        <w:rPr>
          <w:i/>
          <w:color w:val="365F91"/>
          <w:sz w:val="22"/>
        </w:rPr>
        <w:t>Groups</w:t>
      </w:r>
      <w:r>
        <w:rPr>
          <w:i/>
          <w:color w:val="365F91"/>
          <w:spacing w:val="-5"/>
          <w:sz w:val="22"/>
        </w:rPr>
        <w:t xml:space="preserve"> </w:t>
      </w:r>
      <w:r>
        <w:rPr>
          <w:i/>
          <w:color w:val="365F91"/>
          <w:sz w:val="22"/>
        </w:rPr>
        <w:t>and</w:t>
      </w:r>
      <w:r>
        <w:rPr>
          <w:i/>
          <w:color w:val="365F91"/>
          <w:spacing w:val="-5"/>
          <w:sz w:val="22"/>
        </w:rPr>
        <w:t xml:space="preserve"> </w:t>
      </w:r>
      <w:r>
        <w:rPr>
          <w:i/>
          <w:color w:val="365F91"/>
          <w:sz w:val="22"/>
        </w:rPr>
        <w:t>Ad-Hoc</w:t>
      </w:r>
      <w:r>
        <w:rPr>
          <w:i/>
          <w:color w:val="365F91"/>
          <w:spacing w:val="-5"/>
          <w:sz w:val="22"/>
        </w:rPr>
        <w:t xml:space="preserve"> </w:t>
      </w:r>
      <w:r>
        <w:rPr>
          <w:i/>
          <w:color w:val="365F91"/>
          <w:spacing w:val="-2"/>
          <w:sz w:val="22"/>
        </w:rPr>
        <w:t>Reservists</w:t>
      </w:r>
    </w:p>
    <w:p w14:paraId="2B1BB0E8">
      <w:pPr>
        <w:pStyle w:val="6"/>
        <w:spacing w:before="29"/>
        <w:rPr>
          <w:i/>
          <w:sz w:val="22"/>
        </w:rPr>
      </w:pPr>
    </w:p>
    <w:p w14:paraId="182F5AA2">
      <w:pPr>
        <w:pStyle w:val="10"/>
        <w:numPr>
          <w:ilvl w:val="3"/>
          <w:numId w:val="3"/>
        </w:numPr>
        <w:tabs>
          <w:tab w:val="left" w:pos="1080"/>
        </w:tabs>
        <w:spacing w:before="0" w:after="0" w:line="240" w:lineRule="auto"/>
        <w:ind w:left="1080" w:right="409" w:hanging="360"/>
        <w:jc w:val="both"/>
        <w:rPr>
          <w:sz w:val="24"/>
        </w:rPr>
      </w:pPr>
      <w:r>
        <w:rPr>
          <w:b/>
          <w:sz w:val="24"/>
        </w:rPr>
        <w:t>Operational</w:t>
      </w:r>
      <w:r>
        <w:rPr>
          <w:b/>
          <w:spacing w:val="-5"/>
          <w:sz w:val="24"/>
        </w:rPr>
        <w:t xml:space="preserve"> </w:t>
      </w:r>
      <w:r>
        <w:rPr>
          <w:b/>
          <w:sz w:val="24"/>
        </w:rPr>
        <w:t>Status:</w:t>
      </w:r>
      <w:r>
        <w:rPr>
          <w:b/>
          <w:spacing w:val="-5"/>
          <w:sz w:val="24"/>
        </w:rPr>
        <w:t xml:space="preserve"> </w:t>
      </w:r>
      <w:r>
        <w:rPr>
          <w:sz w:val="24"/>
        </w:rPr>
        <w:t>Fluid;</w:t>
      </w:r>
      <w:r>
        <w:rPr>
          <w:spacing w:val="-5"/>
          <w:sz w:val="24"/>
        </w:rPr>
        <w:t xml:space="preserve"> </w:t>
      </w:r>
      <w:r>
        <w:rPr>
          <w:sz w:val="24"/>
        </w:rPr>
        <w:t>transitioning</w:t>
      </w:r>
      <w:r>
        <w:rPr>
          <w:spacing w:val="-5"/>
          <w:sz w:val="24"/>
        </w:rPr>
        <w:t xml:space="preserve"> </w:t>
      </w:r>
      <w:r>
        <w:rPr>
          <w:sz w:val="24"/>
        </w:rPr>
        <w:t>between</w:t>
      </w:r>
      <w:r>
        <w:rPr>
          <w:spacing w:val="-5"/>
          <w:sz w:val="24"/>
        </w:rPr>
        <w:t xml:space="preserve"> </w:t>
      </w:r>
      <w:r>
        <w:rPr>
          <w:sz w:val="24"/>
        </w:rPr>
        <w:t>passive</w:t>
      </w:r>
      <w:r>
        <w:rPr>
          <w:spacing w:val="-6"/>
          <w:sz w:val="24"/>
        </w:rPr>
        <w:t xml:space="preserve"> </w:t>
      </w:r>
      <w:r>
        <w:rPr>
          <w:sz w:val="24"/>
        </w:rPr>
        <w:t>neutrality,</w:t>
      </w:r>
      <w:r>
        <w:rPr>
          <w:spacing w:val="-5"/>
          <w:sz w:val="24"/>
        </w:rPr>
        <w:t xml:space="preserve"> </w:t>
      </w:r>
      <w:r>
        <w:rPr>
          <w:sz w:val="24"/>
        </w:rPr>
        <w:t>ad-hoc</w:t>
      </w:r>
      <w:r>
        <w:rPr>
          <w:spacing w:val="-6"/>
          <w:sz w:val="24"/>
        </w:rPr>
        <w:t xml:space="preserve"> </w:t>
      </w:r>
      <w:r>
        <w:rPr>
          <w:sz w:val="24"/>
        </w:rPr>
        <w:t>community</w:t>
      </w:r>
      <w:r>
        <w:rPr>
          <w:spacing w:val="-5"/>
          <w:sz w:val="24"/>
        </w:rPr>
        <w:t xml:space="preserve"> </w:t>
      </w:r>
      <w:r>
        <w:rPr>
          <w:sz w:val="24"/>
        </w:rPr>
        <w:t>defense, and localized proxy alignment.</w:t>
      </w:r>
    </w:p>
    <w:p w14:paraId="650AF92A">
      <w:pPr>
        <w:pStyle w:val="10"/>
        <w:spacing w:after="0" w:line="240" w:lineRule="auto"/>
        <w:jc w:val="both"/>
        <w:rPr>
          <w:sz w:val="24"/>
        </w:rPr>
        <w:sectPr>
          <w:pgSz w:w="12240" w:h="15840"/>
          <w:pgMar w:top="1360" w:right="720" w:bottom="1240" w:left="720" w:header="72" w:footer="966" w:gutter="0"/>
          <w:cols w:space="720" w:num="1"/>
        </w:sectPr>
      </w:pPr>
    </w:p>
    <w:p w14:paraId="2EF8DACC">
      <w:pPr>
        <w:pStyle w:val="10"/>
        <w:numPr>
          <w:ilvl w:val="3"/>
          <w:numId w:val="3"/>
        </w:numPr>
        <w:tabs>
          <w:tab w:val="left" w:pos="1080"/>
        </w:tabs>
        <w:spacing w:before="0" w:after="0" w:line="240" w:lineRule="auto"/>
        <w:ind w:left="1080" w:right="356" w:hanging="360"/>
        <w:jc w:val="both"/>
        <w:rPr>
          <w:sz w:val="24"/>
        </w:rPr>
      </w:pPr>
      <w:r>
        <w:rPr>
          <w:b/>
          <w:sz w:val="24"/>
        </w:rPr>
        <w:t xml:space="preserve">Socio-Tribal Alignment: </w:t>
      </w:r>
      <w:r>
        <w:rPr>
          <w:sz w:val="24"/>
        </w:rPr>
        <w:t>Segmented rigidly along village boundaries, reflecting long-standing socio-economic divides between traditional riverine landholders and marginalized agricultural worker communities (Kanabi).</w:t>
      </w:r>
    </w:p>
    <w:p w14:paraId="4E5DF4F7">
      <w:pPr>
        <w:pStyle w:val="10"/>
        <w:numPr>
          <w:ilvl w:val="3"/>
          <w:numId w:val="3"/>
        </w:numPr>
        <w:tabs>
          <w:tab w:val="left" w:pos="1080"/>
        </w:tabs>
        <w:spacing w:before="0" w:after="0" w:line="240" w:lineRule="auto"/>
        <w:ind w:left="1080" w:right="360" w:hanging="360"/>
        <w:jc w:val="both"/>
        <w:rPr>
          <w:sz w:val="24"/>
        </w:rPr>
      </w:pPr>
      <w:r>
        <w:rPr>
          <w:b/>
          <w:sz w:val="24"/>
        </w:rPr>
        <w:t xml:space="preserve">Militia Re-makeup: </w:t>
      </w:r>
      <w:r>
        <w:rPr>
          <w:sz w:val="24"/>
        </w:rPr>
        <w:t>These groups represent the ultimate fragmentation of the security architecture, mutating rapidly from defensive village committees into weaponized factions capable of switching allegiance based entirely on immediate tactical survival.</w:t>
      </w:r>
    </w:p>
    <w:p w14:paraId="3AE58B6A">
      <w:pPr>
        <w:pStyle w:val="10"/>
        <w:numPr>
          <w:ilvl w:val="3"/>
          <w:numId w:val="3"/>
        </w:numPr>
        <w:tabs>
          <w:tab w:val="left" w:pos="1080"/>
        </w:tabs>
        <w:spacing w:before="0" w:after="0" w:line="240" w:lineRule="auto"/>
        <w:ind w:left="1080" w:right="359" w:hanging="360"/>
        <w:jc w:val="both"/>
        <w:rPr>
          <w:sz w:val="24"/>
        </w:rPr>
      </w:pPr>
      <w:r>
        <w:rPr>
          <w:b/>
          <w:sz w:val="24"/>
        </w:rPr>
        <w:t xml:space="preserve">Hybrid Security Ecosystem: </w:t>
      </w:r>
      <w:r>
        <w:rPr>
          <w:sz w:val="24"/>
        </w:rPr>
        <w:t>They occupy the lowest rung of the hybrid architecture, acting as localized auxiliary forces that control village entry points, collect ad-hoc tolls, and interface opportunistically with whichever dominant force controls the surrounding sector.</w:t>
      </w:r>
    </w:p>
    <w:p w14:paraId="5F39F863">
      <w:pPr>
        <w:pStyle w:val="10"/>
        <w:numPr>
          <w:ilvl w:val="3"/>
          <w:numId w:val="3"/>
        </w:numPr>
        <w:tabs>
          <w:tab w:val="left" w:pos="1080"/>
        </w:tabs>
        <w:spacing w:before="0" w:after="0" w:line="240" w:lineRule="auto"/>
        <w:ind w:left="1080" w:right="357" w:hanging="360"/>
        <w:jc w:val="both"/>
        <w:rPr>
          <w:sz w:val="24"/>
        </w:rPr>
      </w:pPr>
      <w:r>
        <w:rPr>
          <w:b/>
          <w:sz w:val="24"/>
        </w:rPr>
        <w:t xml:space="preserve">Micro-Political Dynamics: </w:t>
      </w:r>
      <w:r>
        <w:rPr>
          <w:sz w:val="24"/>
        </w:rPr>
        <w:t xml:space="preserve">These ad-hoc armed groups are the primary vehicles for micro-political conflict escalation. Free from any centralized military doctrine or political platform, their operational focus is strictly zero-sum: securing localized water-canal access, seizing neighboring crop stockpiles, and conducting retaliatory raids over grievances rooted in historical </w:t>
      </w:r>
      <w:r>
        <w:rPr>
          <w:spacing w:val="-2"/>
          <w:sz w:val="24"/>
        </w:rPr>
        <w:t>identity.</w:t>
      </w:r>
    </w:p>
    <w:p w14:paraId="4C02ACA7">
      <w:pPr>
        <w:pStyle w:val="6"/>
        <w:spacing w:before="1"/>
      </w:pPr>
    </w:p>
    <w:p w14:paraId="7A349E92">
      <w:pPr>
        <w:pStyle w:val="3"/>
      </w:pPr>
      <w:r>
        <w:t>4.2.</w:t>
      </w:r>
      <w:r>
        <w:rPr>
          <w:spacing w:val="-2"/>
        </w:rPr>
        <w:t xml:space="preserve"> </w:t>
      </w:r>
      <w:r>
        <w:t>Macro-Spatial</w:t>
      </w:r>
      <w:r>
        <w:rPr>
          <w:spacing w:val="-2"/>
        </w:rPr>
        <w:t xml:space="preserve"> </w:t>
      </w:r>
      <w:r>
        <w:t>Grid</w:t>
      </w:r>
      <w:r>
        <w:rPr>
          <w:spacing w:val="-1"/>
        </w:rPr>
        <w:t xml:space="preserve"> </w:t>
      </w:r>
      <w:r>
        <w:t>of</w:t>
      </w:r>
      <w:r>
        <w:rPr>
          <w:spacing w:val="-2"/>
        </w:rPr>
        <w:t xml:space="preserve"> </w:t>
      </w:r>
      <w:r>
        <w:t>Militia</w:t>
      </w:r>
      <w:r>
        <w:rPr>
          <w:spacing w:val="-1"/>
        </w:rPr>
        <w:t xml:space="preserve"> </w:t>
      </w:r>
      <w:r>
        <w:rPr>
          <w:spacing w:val="-2"/>
        </w:rPr>
        <w:t>Distribution</w:t>
      </w:r>
    </w:p>
    <w:p w14:paraId="4031E239">
      <w:pPr>
        <w:pStyle w:val="6"/>
        <w:spacing w:before="5"/>
        <w:rPr>
          <w:b/>
        </w:rPr>
      </w:pPr>
    </w:p>
    <w:p w14:paraId="5FEF9C09">
      <w:pPr>
        <w:pStyle w:val="6"/>
        <w:ind w:left="360"/>
      </w:pPr>
      <w:r>
        <w:t>The</w:t>
      </w:r>
      <w:r>
        <w:rPr>
          <w:spacing w:val="-5"/>
        </w:rPr>
        <w:t xml:space="preserve"> </w:t>
      </w:r>
      <w:r>
        <w:t>dynamic</w:t>
      </w:r>
      <w:r>
        <w:rPr>
          <w:spacing w:val="-4"/>
        </w:rPr>
        <w:t xml:space="preserve"> </w:t>
      </w:r>
      <w:r>
        <w:t>matrix</w:t>
      </w:r>
      <w:r>
        <w:rPr>
          <w:spacing w:val="-3"/>
        </w:rPr>
        <w:t xml:space="preserve"> </w:t>
      </w:r>
      <w:r>
        <w:t>below</w:t>
      </w:r>
      <w:r>
        <w:rPr>
          <w:spacing w:val="-4"/>
        </w:rPr>
        <w:t xml:space="preserve"> </w:t>
      </w:r>
      <w:r>
        <w:t>maps</w:t>
      </w:r>
      <w:r>
        <w:rPr>
          <w:spacing w:val="-4"/>
        </w:rPr>
        <w:t xml:space="preserve"> </w:t>
      </w:r>
      <w:r>
        <w:t>how</w:t>
      </w:r>
      <w:r>
        <w:rPr>
          <w:spacing w:val="-4"/>
        </w:rPr>
        <w:t xml:space="preserve"> </w:t>
      </w:r>
      <w:r>
        <w:t>these</w:t>
      </w:r>
      <w:r>
        <w:rPr>
          <w:spacing w:val="-4"/>
        </w:rPr>
        <w:t xml:space="preserve"> </w:t>
      </w:r>
      <w:r>
        <w:t>non-state</w:t>
      </w:r>
      <w:r>
        <w:rPr>
          <w:spacing w:val="-3"/>
        </w:rPr>
        <w:t xml:space="preserve"> </w:t>
      </w:r>
      <w:r>
        <w:t>armed</w:t>
      </w:r>
      <w:r>
        <w:rPr>
          <w:spacing w:val="-1"/>
        </w:rPr>
        <w:t xml:space="preserve"> </w:t>
      </w:r>
      <w:r>
        <w:t>actors</w:t>
      </w:r>
      <w:r>
        <w:rPr>
          <w:spacing w:val="-1"/>
        </w:rPr>
        <w:t xml:space="preserve"> </w:t>
      </w:r>
      <w:r>
        <w:t>are</w:t>
      </w:r>
      <w:r>
        <w:rPr>
          <w:spacing w:val="-5"/>
        </w:rPr>
        <w:t xml:space="preserve"> </w:t>
      </w:r>
      <w:r>
        <w:t>distributed</w:t>
      </w:r>
      <w:r>
        <w:rPr>
          <w:spacing w:val="-3"/>
        </w:rPr>
        <w:t xml:space="preserve"> </w:t>
      </w:r>
      <w:r>
        <w:t>across</w:t>
      </w:r>
      <w:r>
        <w:rPr>
          <w:spacing w:val="-4"/>
        </w:rPr>
        <w:t xml:space="preserve"> </w:t>
      </w:r>
      <w:r>
        <w:t>Al-Gezira's</w:t>
      </w:r>
      <w:r>
        <w:rPr>
          <w:spacing w:val="-1"/>
        </w:rPr>
        <w:t xml:space="preserve"> </w:t>
      </w:r>
      <w:r>
        <w:t>key tactical quadrants:</w:t>
      </w:r>
    </w:p>
    <w:p w14:paraId="26F2F296">
      <w:pPr>
        <w:pStyle w:val="6"/>
        <w:rPr>
          <w:sz w:val="20"/>
        </w:rPr>
      </w:pPr>
    </w:p>
    <w:p w14:paraId="2158DBA9">
      <w:pPr>
        <w:pStyle w:val="6"/>
        <w:rPr>
          <w:sz w:val="20"/>
        </w:rPr>
      </w:pPr>
    </w:p>
    <w:p w14:paraId="0C3F9B22">
      <w:pPr>
        <w:pStyle w:val="6"/>
        <w:spacing w:before="146"/>
        <w:rPr>
          <w:sz w:val="20"/>
        </w:rPr>
      </w:pPr>
    </w:p>
    <w:tbl>
      <w:tblPr>
        <w:tblStyle w:val="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8"/>
        <w:gridCol w:w="2338"/>
        <w:gridCol w:w="1987"/>
        <w:gridCol w:w="2688"/>
      </w:tblGrid>
      <w:tr w14:paraId="015E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338" w:type="dxa"/>
          </w:tcPr>
          <w:p w14:paraId="3BA9EBDC">
            <w:pPr>
              <w:pStyle w:val="11"/>
              <w:spacing w:line="251" w:lineRule="exact"/>
              <w:rPr>
                <w:b/>
                <w:sz w:val="22"/>
              </w:rPr>
            </w:pPr>
            <w:r>
              <w:rPr>
                <w:b/>
                <w:sz w:val="22"/>
              </w:rPr>
              <w:t>Geographic</w:t>
            </w:r>
            <w:r>
              <w:rPr>
                <w:b/>
                <w:spacing w:val="-4"/>
                <w:sz w:val="22"/>
              </w:rPr>
              <w:t xml:space="preserve"> Zone</w:t>
            </w:r>
          </w:p>
        </w:tc>
        <w:tc>
          <w:tcPr>
            <w:tcW w:w="2338" w:type="dxa"/>
          </w:tcPr>
          <w:p w14:paraId="250C6595">
            <w:pPr>
              <w:pStyle w:val="11"/>
              <w:spacing w:line="252" w:lineRule="exact"/>
              <w:rPr>
                <w:b/>
                <w:sz w:val="22"/>
              </w:rPr>
            </w:pPr>
            <w:r>
              <w:rPr>
                <w:b/>
                <w:sz w:val="22"/>
              </w:rPr>
              <w:t>Dominant</w:t>
            </w:r>
            <w:r>
              <w:rPr>
                <w:b/>
                <w:spacing w:val="16"/>
                <w:sz w:val="22"/>
              </w:rPr>
              <w:t xml:space="preserve"> </w:t>
            </w:r>
            <w:r>
              <w:rPr>
                <w:b/>
                <w:sz w:val="22"/>
              </w:rPr>
              <w:t>Non-State</w:t>
            </w:r>
            <w:r>
              <w:rPr>
                <w:b/>
                <w:spacing w:val="15"/>
                <w:sz w:val="22"/>
              </w:rPr>
              <w:t xml:space="preserve"> </w:t>
            </w:r>
            <w:r>
              <w:rPr>
                <w:b/>
                <w:sz w:val="22"/>
              </w:rPr>
              <w:t>/ Parastatal Actor</w:t>
            </w:r>
          </w:p>
        </w:tc>
        <w:tc>
          <w:tcPr>
            <w:tcW w:w="1987" w:type="dxa"/>
          </w:tcPr>
          <w:p w14:paraId="579CEF0B">
            <w:pPr>
              <w:pStyle w:val="11"/>
              <w:spacing w:line="251" w:lineRule="exact"/>
              <w:ind w:left="105"/>
              <w:rPr>
                <w:b/>
                <w:sz w:val="22"/>
              </w:rPr>
            </w:pPr>
            <w:r>
              <w:rPr>
                <w:b/>
                <w:spacing w:val="-2"/>
                <w:sz w:val="22"/>
              </w:rPr>
              <w:t>Alignment</w:t>
            </w:r>
          </w:p>
        </w:tc>
        <w:tc>
          <w:tcPr>
            <w:tcW w:w="2688" w:type="dxa"/>
          </w:tcPr>
          <w:p w14:paraId="05DC64B5">
            <w:pPr>
              <w:pStyle w:val="11"/>
              <w:tabs>
                <w:tab w:val="left" w:pos="1737"/>
              </w:tabs>
              <w:spacing w:line="252" w:lineRule="exact"/>
              <w:ind w:left="108" w:right="96"/>
              <w:rPr>
                <w:b/>
                <w:sz w:val="22"/>
              </w:rPr>
            </w:pPr>
            <w:r>
              <w:rPr>
                <w:b/>
                <w:spacing w:val="-2"/>
                <w:sz w:val="22"/>
              </w:rPr>
              <w:t>Primary</w:t>
            </w:r>
            <w:r>
              <w:rPr>
                <w:b/>
                <w:sz w:val="22"/>
              </w:rPr>
              <w:tab/>
            </w:r>
            <w:r>
              <w:rPr>
                <w:b/>
                <w:spacing w:val="-2"/>
                <w:sz w:val="22"/>
              </w:rPr>
              <w:t>Strategic Function</w:t>
            </w:r>
          </w:p>
        </w:tc>
      </w:tr>
      <w:tr w14:paraId="7BCC2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2338" w:type="dxa"/>
          </w:tcPr>
          <w:p w14:paraId="537A6690">
            <w:pPr>
              <w:pStyle w:val="11"/>
              <w:tabs>
                <w:tab w:val="left" w:pos="1299"/>
              </w:tabs>
              <w:ind w:right="96"/>
              <w:rPr>
                <w:b/>
                <w:sz w:val="22"/>
              </w:rPr>
            </w:pPr>
            <w:r>
              <w:rPr>
                <w:b/>
                <w:spacing w:val="-2"/>
                <w:sz w:val="22"/>
              </w:rPr>
              <w:t>Western</w:t>
            </w:r>
            <w:r>
              <w:rPr>
                <w:b/>
                <w:sz w:val="22"/>
              </w:rPr>
              <w:tab/>
            </w:r>
            <w:r>
              <w:rPr>
                <w:b/>
                <w:spacing w:val="-2"/>
                <w:sz w:val="22"/>
              </w:rPr>
              <w:t xml:space="preserve">Quadrant </w:t>
            </w:r>
            <w:r>
              <w:rPr>
                <w:b/>
                <w:sz w:val="22"/>
              </w:rPr>
              <w:t>(Al-Manaqil Axis)</w:t>
            </w:r>
          </w:p>
        </w:tc>
        <w:tc>
          <w:tcPr>
            <w:tcW w:w="2338" w:type="dxa"/>
          </w:tcPr>
          <w:p w14:paraId="71B08A62">
            <w:pPr>
              <w:pStyle w:val="11"/>
              <w:rPr>
                <w:sz w:val="22"/>
              </w:rPr>
            </w:pPr>
            <w:r>
              <w:rPr>
                <w:sz w:val="22"/>
              </w:rPr>
              <w:t>JEM</w:t>
            </w:r>
            <w:r>
              <w:rPr>
                <w:spacing w:val="80"/>
                <w:sz w:val="22"/>
              </w:rPr>
              <w:t xml:space="preserve"> </w:t>
            </w:r>
            <w:r>
              <w:rPr>
                <w:sz w:val="22"/>
              </w:rPr>
              <w:t>&amp;</w:t>
            </w:r>
            <w:r>
              <w:rPr>
                <w:spacing w:val="80"/>
                <w:sz w:val="22"/>
              </w:rPr>
              <w:t xml:space="preserve"> </w:t>
            </w:r>
            <w:r>
              <w:rPr>
                <w:sz w:val="22"/>
              </w:rPr>
              <w:t>Darfur</w:t>
            </w:r>
            <w:r>
              <w:rPr>
                <w:spacing w:val="80"/>
                <w:sz w:val="22"/>
              </w:rPr>
              <w:t xml:space="preserve"> </w:t>
            </w:r>
            <w:r>
              <w:rPr>
                <w:sz w:val="22"/>
              </w:rPr>
              <w:t xml:space="preserve">Joint </w:t>
            </w:r>
            <w:r>
              <w:rPr>
                <w:spacing w:val="-2"/>
                <w:sz w:val="22"/>
              </w:rPr>
              <w:t>Forces</w:t>
            </w:r>
          </w:p>
        </w:tc>
        <w:tc>
          <w:tcPr>
            <w:tcW w:w="1987" w:type="dxa"/>
          </w:tcPr>
          <w:p w14:paraId="32E81D97">
            <w:pPr>
              <w:pStyle w:val="11"/>
              <w:spacing w:line="251" w:lineRule="exact"/>
              <w:ind w:left="105"/>
              <w:rPr>
                <w:sz w:val="22"/>
              </w:rPr>
            </w:pPr>
            <w:r>
              <w:rPr>
                <w:sz w:val="22"/>
              </w:rPr>
              <w:t>SAF</w:t>
            </w:r>
            <w:r>
              <w:rPr>
                <w:spacing w:val="-5"/>
                <w:sz w:val="22"/>
              </w:rPr>
              <w:t xml:space="preserve"> </w:t>
            </w:r>
            <w:r>
              <w:rPr>
                <w:spacing w:val="-2"/>
                <w:sz w:val="22"/>
              </w:rPr>
              <w:t>Allied</w:t>
            </w:r>
          </w:p>
        </w:tc>
        <w:tc>
          <w:tcPr>
            <w:tcW w:w="2688" w:type="dxa"/>
          </w:tcPr>
          <w:p w14:paraId="257253B5">
            <w:pPr>
              <w:pStyle w:val="11"/>
              <w:tabs>
                <w:tab w:val="left" w:pos="1689"/>
              </w:tabs>
              <w:ind w:left="108" w:right="95"/>
              <w:rPr>
                <w:sz w:val="22"/>
              </w:rPr>
            </w:pPr>
            <w:r>
              <w:rPr>
                <w:sz w:val="22"/>
              </w:rPr>
              <w:t>Staging</w:t>
            </w:r>
            <w:r>
              <w:rPr>
                <w:spacing w:val="-5"/>
                <w:sz w:val="22"/>
              </w:rPr>
              <w:t xml:space="preserve"> </w:t>
            </w:r>
            <w:r>
              <w:rPr>
                <w:sz w:val="22"/>
              </w:rPr>
              <w:t>ground</w:t>
            </w:r>
            <w:r>
              <w:rPr>
                <w:spacing w:val="-7"/>
                <w:sz w:val="22"/>
              </w:rPr>
              <w:t xml:space="preserve"> </w:t>
            </w:r>
            <w:r>
              <w:rPr>
                <w:sz w:val="22"/>
              </w:rPr>
              <w:t>for</w:t>
            </w:r>
            <w:r>
              <w:rPr>
                <w:spacing w:val="-5"/>
                <w:sz w:val="22"/>
              </w:rPr>
              <w:t xml:space="preserve"> </w:t>
            </w:r>
            <w:r>
              <w:rPr>
                <w:sz w:val="22"/>
              </w:rPr>
              <w:t>counter-</w:t>
            </w:r>
            <w:r>
              <w:rPr>
                <w:spacing w:val="-2"/>
                <w:sz w:val="22"/>
              </w:rPr>
              <w:t>offensives;</w:t>
            </w:r>
            <w:r>
              <w:rPr>
                <w:sz w:val="22"/>
              </w:rPr>
              <w:tab/>
            </w:r>
            <w:r>
              <w:rPr>
                <w:spacing w:val="-2"/>
                <w:sz w:val="22"/>
              </w:rPr>
              <w:t>protecting</w:t>
            </w:r>
          </w:p>
          <w:p w14:paraId="33CDFDF8">
            <w:pPr>
              <w:pStyle w:val="11"/>
              <w:tabs>
                <w:tab w:val="left" w:pos="1859"/>
              </w:tabs>
              <w:spacing w:line="252" w:lineRule="exact"/>
              <w:ind w:left="108" w:right="96"/>
              <w:rPr>
                <w:sz w:val="22"/>
              </w:rPr>
            </w:pPr>
            <w:r>
              <w:rPr>
                <w:spacing w:val="-2"/>
                <w:sz w:val="22"/>
              </w:rPr>
              <w:t>remaining</w:t>
            </w:r>
            <w:r>
              <w:rPr>
                <w:sz w:val="22"/>
              </w:rPr>
              <w:tab/>
            </w:r>
            <w:r>
              <w:rPr>
                <w:spacing w:val="-2"/>
                <w:sz w:val="22"/>
              </w:rPr>
              <w:t>agrarian infrastructure.</w:t>
            </w:r>
          </w:p>
        </w:tc>
      </w:tr>
      <w:tr w14:paraId="61BC0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338" w:type="dxa"/>
          </w:tcPr>
          <w:p w14:paraId="5309D92E">
            <w:pPr>
              <w:pStyle w:val="11"/>
              <w:tabs>
                <w:tab w:val="left" w:pos="1057"/>
                <w:tab w:val="left" w:pos="1702"/>
              </w:tabs>
              <w:ind w:right="94"/>
              <w:rPr>
                <w:b/>
                <w:sz w:val="22"/>
              </w:rPr>
            </w:pPr>
            <w:r>
              <w:rPr>
                <w:b/>
                <w:spacing w:val="-2"/>
                <w:sz w:val="22"/>
              </w:rPr>
              <w:t>Central</w:t>
            </w:r>
            <w:r>
              <w:rPr>
                <w:b/>
                <w:sz w:val="22"/>
              </w:rPr>
              <w:tab/>
            </w:r>
            <w:r>
              <w:rPr>
                <w:b/>
                <w:spacing w:val="-4"/>
                <w:sz w:val="22"/>
              </w:rPr>
              <w:t>Hub</w:t>
            </w:r>
            <w:r>
              <w:rPr>
                <w:b/>
                <w:sz w:val="22"/>
              </w:rPr>
              <w:tab/>
            </w:r>
            <w:r>
              <w:rPr>
                <w:b/>
                <w:spacing w:val="-4"/>
                <w:sz w:val="22"/>
              </w:rPr>
              <w:t xml:space="preserve">(Wad </w:t>
            </w:r>
            <w:r>
              <w:rPr>
                <w:b/>
                <w:sz w:val="22"/>
              </w:rPr>
              <w:t>Madani &amp; Environs)</w:t>
            </w:r>
          </w:p>
        </w:tc>
        <w:tc>
          <w:tcPr>
            <w:tcW w:w="2338" w:type="dxa"/>
          </w:tcPr>
          <w:p w14:paraId="34277B6D">
            <w:pPr>
              <w:pStyle w:val="11"/>
              <w:ind w:firstLine="55"/>
              <w:rPr>
                <w:sz w:val="22"/>
              </w:rPr>
            </w:pPr>
            <w:r>
              <w:rPr>
                <w:sz w:val="22"/>
              </w:rPr>
              <w:t>SMF,</w:t>
            </w:r>
            <w:r>
              <w:rPr>
                <w:spacing w:val="13"/>
                <w:sz w:val="22"/>
              </w:rPr>
              <w:t xml:space="preserve"> </w:t>
            </w:r>
            <w:r>
              <w:rPr>
                <w:sz w:val="22"/>
              </w:rPr>
              <w:t>Islamic</w:t>
            </w:r>
            <w:r>
              <w:rPr>
                <w:spacing w:val="13"/>
                <w:sz w:val="22"/>
              </w:rPr>
              <w:t xml:space="preserve"> </w:t>
            </w:r>
            <w:r>
              <w:rPr>
                <w:sz w:val="22"/>
              </w:rPr>
              <w:t>factions, SSF, JEM, Tigray</w:t>
            </w:r>
          </w:p>
        </w:tc>
        <w:tc>
          <w:tcPr>
            <w:tcW w:w="1987" w:type="dxa"/>
          </w:tcPr>
          <w:p w14:paraId="07BE35F2">
            <w:pPr>
              <w:pStyle w:val="11"/>
              <w:spacing w:line="251" w:lineRule="exact"/>
              <w:ind w:left="105"/>
              <w:rPr>
                <w:sz w:val="22"/>
              </w:rPr>
            </w:pPr>
            <w:r>
              <w:rPr>
                <w:sz w:val="22"/>
              </w:rPr>
              <w:t>Contested</w:t>
            </w:r>
            <w:r>
              <w:rPr>
                <w:spacing w:val="-4"/>
                <w:sz w:val="22"/>
              </w:rPr>
              <w:t xml:space="preserve"> </w:t>
            </w:r>
            <w:r>
              <w:rPr>
                <w:sz w:val="22"/>
              </w:rPr>
              <w:t>/</w:t>
            </w:r>
            <w:r>
              <w:rPr>
                <w:spacing w:val="-1"/>
                <w:sz w:val="22"/>
              </w:rPr>
              <w:t xml:space="preserve"> </w:t>
            </w:r>
            <w:r>
              <w:rPr>
                <w:spacing w:val="-2"/>
                <w:sz w:val="22"/>
              </w:rPr>
              <w:t>Fluid</w:t>
            </w:r>
          </w:p>
        </w:tc>
        <w:tc>
          <w:tcPr>
            <w:tcW w:w="2688" w:type="dxa"/>
          </w:tcPr>
          <w:p w14:paraId="4DF8F433">
            <w:pPr>
              <w:pStyle w:val="11"/>
              <w:ind w:left="108" w:right="95"/>
              <w:rPr>
                <w:sz w:val="22"/>
              </w:rPr>
            </w:pPr>
            <w:r>
              <w:rPr>
                <w:sz w:val="22"/>
              </w:rPr>
              <w:t>Urban</w:t>
            </w:r>
            <w:r>
              <w:rPr>
                <w:spacing w:val="20"/>
                <w:sz w:val="22"/>
              </w:rPr>
              <w:t xml:space="preserve"> </w:t>
            </w:r>
            <w:r>
              <w:rPr>
                <w:sz w:val="22"/>
              </w:rPr>
              <w:t>control;</w:t>
            </w:r>
            <w:r>
              <w:rPr>
                <w:spacing w:val="18"/>
                <w:sz w:val="22"/>
              </w:rPr>
              <w:t xml:space="preserve"> </w:t>
            </w:r>
            <w:r>
              <w:rPr>
                <w:sz w:val="22"/>
              </w:rPr>
              <w:t>choke-point taxation;</w:t>
            </w:r>
            <w:r>
              <w:rPr>
                <w:spacing w:val="40"/>
                <w:sz w:val="22"/>
              </w:rPr>
              <w:t xml:space="preserve">  </w:t>
            </w:r>
            <w:r>
              <w:rPr>
                <w:sz w:val="22"/>
              </w:rPr>
              <w:t>management</w:t>
            </w:r>
            <w:r>
              <w:rPr>
                <w:spacing w:val="41"/>
                <w:sz w:val="22"/>
              </w:rPr>
              <w:t xml:space="preserve">  </w:t>
            </w:r>
            <w:r>
              <w:rPr>
                <w:spacing w:val="-5"/>
                <w:sz w:val="22"/>
              </w:rPr>
              <w:t>of</w:t>
            </w:r>
          </w:p>
          <w:p w14:paraId="1DEF58EF">
            <w:pPr>
              <w:pStyle w:val="11"/>
              <w:spacing w:line="233" w:lineRule="exact"/>
              <w:ind w:left="108"/>
              <w:rPr>
                <w:sz w:val="22"/>
              </w:rPr>
            </w:pPr>
            <w:r>
              <w:rPr>
                <w:sz w:val="22"/>
              </w:rPr>
              <w:t>main</w:t>
            </w:r>
            <w:r>
              <w:rPr>
                <w:spacing w:val="-4"/>
                <w:sz w:val="22"/>
              </w:rPr>
              <w:t xml:space="preserve"> </w:t>
            </w:r>
            <w:r>
              <w:rPr>
                <w:sz w:val="22"/>
              </w:rPr>
              <w:t>highway</w:t>
            </w:r>
            <w:r>
              <w:rPr>
                <w:spacing w:val="-4"/>
                <w:sz w:val="22"/>
              </w:rPr>
              <w:t xml:space="preserve"> </w:t>
            </w:r>
            <w:r>
              <w:rPr>
                <w:spacing w:val="-2"/>
                <w:sz w:val="22"/>
              </w:rPr>
              <w:t>bridges.</w:t>
            </w:r>
          </w:p>
        </w:tc>
      </w:tr>
      <w:tr w14:paraId="4AF05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2338" w:type="dxa"/>
          </w:tcPr>
          <w:p w14:paraId="73487B14">
            <w:pPr>
              <w:pStyle w:val="11"/>
              <w:tabs>
                <w:tab w:val="left" w:pos="1299"/>
              </w:tabs>
              <w:spacing w:line="251" w:lineRule="exact"/>
              <w:rPr>
                <w:b/>
                <w:sz w:val="22"/>
              </w:rPr>
            </w:pPr>
            <w:r>
              <w:rPr>
                <w:b/>
                <w:spacing w:val="-2"/>
                <w:sz w:val="22"/>
              </w:rPr>
              <w:t>Eastern</w:t>
            </w:r>
            <w:r>
              <w:rPr>
                <w:b/>
                <w:sz w:val="22"/>
              </w:rPr>
              <w:tab/>
            </w:r>
            <w:r>
              <w:rPr>
                <w:b/>
                <w:spacing w:val="-2"/>
                <w:sz w:val="22"/>
              </w:rPr>
              <w:t>Quadrant</w:t>
            </w:r>
          </w:p>
          <w:p w14:paraId="21D2C8CC">
            <w:pPr>
              <w:pStyle w:val="11"/>
              <w:spacing w:line="252" w:lineRule="exact"/>
              <w:rPr>
                <w:b/>
                <w:sz w:val="22"/>
              </w:rPr>
            </w:pPr>
            <w:r>
              <w:rPr>
                <w:b/>
                <w:sz w:val="22"/>
              </w:rPr>
              <w:t>(East</w:t>
            </w:r>
            <w:r>
              <w:rPr>
                <w:b/>
                <w:spacing w:val="40"/>
                <w:sz w:val="22"/>
              </w:rPr>
              <w:t xml:space="preserve"> </w:t>
            </w:r>
            <w:r>
              <w:rPr>
                <w:b/>
                <w:sz w:val="22"/>
              </w:rPr>
              <w:t>of</w:t>
            </w:r>
            <w:r>
              <w:rPr>
                <w:b/>
                <w:spacing w:val="40"/>
                <w:sz w:val="22"/>
              </w:rPr>
              <w:t xml:space="preserve"> </w:t>
            </w:r>
            <w:r>
              <w:rPr>
                <w:b/>
                <w:sz w:val="22"/>
              </w:rPr>
              <w:t>Blue</w:t>
            </w:r>
            <w:r>
              <w:rPr>
                <w:b/>
                <w:spacing w:val="40"/>
                <w:sz w:val="22"/>
              </w:rPr>
              <w:t xml:space="preserve"> </w:t>
            </w:r>
            <w:r>
              <w:rPr>
                <w:b/>
                <w:sz w:val="22"/>
              </w:rPr>
              <w:t>Nile</w:t>
            </w:r>
            <w:r>
              <w:rPr>
                <w:b/>
                <w:spacing w:val="40"/>
                <w:sz w:val="22"/>
              </w:rPr>
              <w:t xml:space="preserve"> </w:t>
            </w:r>
            <w:r>
              <w:rPr>
                <w:b/>
                <w:sz w:val="22"/>
              </w:rPr>
              <w:t xml:space="preserve">/ </w:t>
            </w:r>
            <w:r>
              <w:rPr>
                <w:b/>
                <w:spacing w:val="-2"/>
                <w:sz w:val="22"/>
              </w:rPr>
              <w:t>Butana)</w:t>
            </w:r>
          </w:p>
        </w:tc>
        <w:tc>
          <w:tcPr>
            <w:tcW w:w="2338" w:type="dxa"/>
          </w:tcPr>
          <w:p w14:paraId="310D5D44">
            <w:pPr>
              <w:pStyle w:val="11"/>
              <w:rPr>
                <w:sz w:val="22"/>
              </w:rPr>
            </w:pPr>
            <w:r>
              <w:rPr>
                <w:sz w:val="22"/>
              </w:rPr>
              <w:t>Kaikal</w:t>
            </w:r>
            <w:r>
              <w:rPr>
                <w:spacing w:val="35"/>
                <w:sz w:val="22"/>
              </w:rPr>
              <w:t xml:space="preserve"> </w:t>
            </w:r>
            <w:r>
              <w:rPr>
                <w:sz w:val="22"/>
              </w:rPr>
              <w:t>Loyalists</w:t>
            </w:r>
            <w:r>
              <w:rPr>
                <w:spacing w:val="32"/>
                <w:sz w:val="22"/>
              </w:rPr>
              <w:t xml:space="preserve"> </w:t>
            </w:r>
            <w:r>
              <w:rPr>
                <w:sz w:val="22"/>
              </w:rPr>
              <w:t>(SSF) &amp; SAF Infantry</w:t>
            </w:r>
          </w:p>
        </w:tc>
        <w:tc>
          <w:tcPr>
            <w:tcW w:w="1987" w:type="dxa"/>
          </w:tcPr>
          <w:p w14:paraId="4AAD2BFF">
            <w:pPr>
              <w:pStyle w:val="11"/>
              <w:spacing w:line="251" w:lineRule="exact"/>
              <w:ind w:left="105"/>
              <w:rPr>
                <w:sz w:val="22"/>
              </w:rPr>
            </w:pPr>
            <w:r>
              <w:rPr>
                <w:sz w:val="22"/>
              </w:rPr>
              <w:t>SAF</w:t>
            </w:r>
            <w:r>
              <w:rPr>
                <w:spacing w:val="-5"/>
                <w:sz w:val="22"/>
              </w:rPr>
              <w:t xml:space="preserve"> </w:t>
            </w:r>
            <w:r>
              <w:rPr>
                <w:spacing w:val="-2"/>
                <w:sz w:val="22"/>
              </w:rPr>
              <w:t>Allied</w:t>
            </w:r>
          </w:p>
        </w:tc>
        <w:tc>
          <w:tcPr>
            <w:tcW w:w="2688" w:type="dxa"/>
          </w:tcPr>
          <w:p w14:paraId="66BEC64B">
            <w:pPr>
              <w:pStyle w:val="11"/>
              <w:spacing w:line="251" w:lineRule="exact"/>
              <w:ind w:left="108"/>
              <w:rPr>
                <w:sz w:val="22"/>
              </w:rPr>
            </w:pPr>
            <w:r>
              <w:rPr>
                <w:sz w:val="22"/>
              </w:rPr>
              <w:t>Securing</w:t>
            </w:r>
            <w:r>
              <w:rPr>
                <w:spacing w:val="68"/>
                <w:w w:val="150"/>
                <w:sz w:val="22"/>
              </w:rPr>
              <w:t xml:space="preserve"> </w:t>
            </w:r>
            <w:r>
              <w:rPr>
                <w:sz w:val="22"/>
              </w:rPr>
              <w:t>supply</w:t>
            </w:r>
            <w:r>
              <w:rPr>
                <w:spacing w:val="67"/>
                <w:w w:val="150"/>
                <w:sz w:val="22"/>
              </w:rPr>
              <w:t xml:space="preserve"> </w:t>
            </w:r>
            <w:r>
              <w:rPr>
                <w:spacing w:val="-2"/>
                <w:sz w:val="22"/>
              </w:rPr>
              <w:t>corridors</w:t>
            </w:r>
          </w:p>
          <w:p w14:paraId="6DBA24B7">
            <w:pPr>
              <w:pStyle w:val="11"/>
              <w:spacing w:line="252" w:lineRule="exact"/>
              <w:ind w:left="108" w:right="95"/>
              <w:rPr>
                <w:sz w:val="22"/>
              </w:rPr>
            </w:pPr>
            <w:r>
              <w:rPr>
                <w:sz w:val="22"/>
              </w:rPr>
              <w:t>to</w:t>
            </w:r>
            <w:r>
              <w:rPr>
                <w:spacing w:val="22"/>
                <w:sz w:val="22"/>
              </w:rPr>
              <w:t xml:space="preserve"> </w:t>
            </w:r>
            <w:r>
              <w:rPr>
                <w:sz w:val="22"/>
              </w:rPr>
              <w:t>Al-Qadarif</w:t>
            </w:r>
            <w:r>
              <w:rPr>
                <w:spacing w:val="23"/>
                <w:sz w:val="22"/>
              </w:rPr>
              <w:t xml:space="preserve"> </w:t>
            </w:r>
            <w:r>
              <w:rPr>
                <w:sz w:val="22"/>
              </w:rPr>
              <w:t>and</w:t>
            </w:r>
            <w:r>
              <w:rPr>
                <w:spacing w:val="22"/>
                <w:sz w:val="22"/>
              </w:rPr>
              <w:t xml:space="preserve"> </w:t>
            </w:r>
            <w:r>
              <w:rPr>
                <w:sz w:val="22"/>
              </w:rPr>
              <w:t>Kassala; border defense.</w:t>
            </w:r>
          </w:p>
        </w:tc>
      </w:tr>
      <w:tr w14:paraId="19FB4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338" w:type="dxa"/>
          </w:tcPr>
          <w:p w14:paraId="7B1BDCBC">
            <w:pPr>
              <w:pStyle w:val="11"/>
              <w:tabs>
                <w:tab w:val="left" w:pos="1607"/>
              </w:tabs>
              <w:spacing w:before="1"/>
              <w:ind w:right="94"/>
              <w:rPr>
                <w:b/>
                <w:sz w:val="22"/>
              </w:rPr>
            </w:pPr>
            <w:r>
              <w:rPr>
                <w:b/>
                <w:spacing w:val="-2"/>
                <w:sz w:val="22"/>
              </w:rPr>
              <w:t>Southern</w:t>
            </w:r>
            <w:r>
              <w:rPr>
                <w:b/>
                <w:sz w:val="22"/>
              </w:rPr>
              <w:tab/>
            </w:r>
            <w:r>
              <w:rPr>
                <w:b/>
                <w:spacing w:val="-2"/>
                <w:sz w:val="22"/>
              </w:rPr>
              <w:t xml:space="preserve">Fringe </w:t>
            </w:r>
            <w:r>
              <w:rPr>
                <w:b/>
                <w:sz w:val="22"/>
              </w:rPr>
              <w:t>(Sennar Border)</w:t>
            </w:r>
          </w:p>
        </w:tc>
        <w:tc>
          <w:tcPr>
            <w:tcW w:w="2338" w:type="dxa"/>
          </w:tcPr>
          <w:p w14:paraId="120EDCF9">
            <w:pPr>
              <w:pStyle w:val="11"/>
              <w:spacing w:before="1"/>
              <w:rPr>
                <w:sz w:val="22"/>
              </w:rPr>
            </w:pPr>
            <w:r>
              <w:rPr>
                <w:sz w:val="22"/>
              </w:rPr>
              <w:t>Mixed Columns</w:t>
            </w:r>
            <w:r>
              <w:rPr>
                <w:spacing w:val="-1"/>
                <w:sz w:val="22"/>
              </w:rPr>
              <w:t xml:space="preserve"> </w:t>
            </w:r>
            <w:r>
              <w:rPr>
                <w:sz w:val="22"/>
              </w:rPr>
              <w:t>(JEM / SAF / RSF Raiders)</w:t>
            </w:r>
          </w:p>
        </w:tc>
        <w:tc>
          <w:tcPr>
            <w:tcW w:w="1987" w:type="dxa"/>
          </w:tcPr>
          <w:p w14:paraId="72FB426E">
            <w:pPr>
              <w:pStyle w:val="11"/>
              <w:tabs>
                <w:tab w:val="left" w:pos="1182"/>
              </w:tabs>
              <w:spacing w:before="1"/>
              <w:ind w:left="105" w:right="95"/>
              <w:rPr>
                <w:sz w:val="22"/>
              </w:rPr>
            </w:pPr>
            <w:r>
              <w:rPr>
                <w:spacing w:val="-2"/>
                <w:sz w:val="22"/>
              </w:rPr>
              <w:t>Active</w:t>
            </w:r>
            <w:r>
              <w:rPr>
                <w:sz w:val="22"/>
              </w:rPr>
              <w:tab/>
            </w:r>
            <w:r>
              <w:rPr>
                <w:spacing w:val="-2"/>
                <w:sz w:val="22"/>
              </w:rPr>
              <w:t xml:space="preserve">Combat </w:t>
            </w:r>
            <w:r>
              <w:rPr>
                <w:spacing w:val="-4"/>
                <w:sz w:val="22"/>
              </w:rPr>
              <w:t>Zone</w:t>
            </w:r>
          </w:p>
        </w:tc>
        <w:tc>
          <w:tcPr>
            <w:tcW w:w="2688" w:type="dxa"/>
          </w:tcPr>
          <w:p w14:paraId="36ABA2B6">
            <w:pPr>
              <w:pStyle w:val="11"/>
              <w:spacing w:line="252" w:lineRule="exact"/>
              <w:ind w:left="108" w:right="96"/>
              <w:jc w:val="both"/>
              <w:rPr>
                <w:sz w:val="22"/>
              </w:rPr>
            </w:pPr>
            <w:r>
              <w:rPr>
                <w:sz w:val="22"/>
              </w:rPr>
              <w:t>Interdiction</w:t>
            </w:r>
            <w:r>
              <w:rPr>
                <w:spacing w:val="-12"/>
                <w:sz w:val="22"/>
              </w:rPr>
              <w:t xml:space="preserve"> </w:t>
            </w:r>
            <w:r>
              <w:rPr>
                <w:sz w:val="22"/>
              </w:rPr>
              <w:t>of</w:t>
            </w:r>
            <w:r>
              <w:rPr>
                <w:spacing w:val="-12"/>
                <w:sz w:val="22"/>
              </w:rPr>
              <w:t xml:space="preserve"> </w:t>
            </w:r>
            <w:r>
              <w:rPr>
                <w:sz w:val="22"/>
              </w:rPr>
              <w:t>transnational supply lines; mobile</w:t>
            </w:r>
            <w:r>
              <w:rPr>
                <w:spacing w:val="40"/>
                <w:sz w:val="22"/>
              </w:rPr>
              <w:t xml:space="preserve"> </w:t>
            </w:r>
            <w:r>
              <w:rPr>
                <w:sz w:val="22"/>
              </w:rPr>
              <w:t>warfare across open fields.</w:t>
            </w:r>
          </w:p>
        </w:tc>
      </w:tr>
    </w:tbl>
    <w:p w14:paraId="77BD0232">
      <w:pPr>
        <w:pStyle w:val="6"/>
        <w:spacing w:before="5"/>
      </w:pPr>
    </w:p>
    <w:p w14:paraId="0AF551B4">
      <w:pPr>
        <w:spacing w:before="0"/>
        <w:ind w:left="360" w:right="0" w:firstLine="0"/>
        <w:jc w:val="both"/>
        <w:rPr>
          <w:i/>
          <w:sz w:val="24"/>
        </w:rPr>
      </w:pPr>
      <w:r>
        <w:rPr>
          <w:b/>
          <w:sz w:val="24"/>
        </w:rPr>
        <w:t>Source:</w:t>
      </w:r>
      <w:r>
        <w:rPr>
          <w:b/>
          <w:spacing w:val="-2"/>
          <w:sz w:val="24"/>
        </w:rPr>
        <w:t xml:space="preserve"> </w:t>
      </w:r>
      <w:r>
        <w:rPr>
          <w:i/>
          <w:sz w:val="24"/>
        </w:rPr>
        <w:t>The</w:t>
      </w:r>
      <w:r>
        <w:rPr>
          <w:i/>
          <w:spacing w:val="-2"/>
          <w:sz w:val="24"/>
        </w:rPr>
        <w:t xml:space="preserve"> </w:t>
      </w:r>
      <w:r>
        <w:rPr>
          <w:i/>
          <w:sz w:val="24"/>
        </w:rPr>
        <w:t>Field</w:t>
      </w:r>
      <w:r>
        <w:rPr>
          <w:i/>
          <w:spacing w:val="-1"/>
          <w:sz w:val="24"/>
        </w:rPr>
        <w:t xml:space="preserve"> </w:t>
      </w:r>
      <w:r>
        <w:rPr>
          <w:i/>
          <w:sz w:val="24"/>
        </w:rPr>
        <w:t>Survey</w:t>
      </w:r>
      <w:r>
        <w:rPr>
          <w:i/>
          <w:spacing w:val="-2"/>
          <w:sz w:val="24"/>
        </w:rPr>
        <w:t xml:space="preserve"> 2026.</w:t>
      </w:r>
    </w:p>
    <w:p w14:paraId="7ADAFC7D">
      <w:pPr>
        <w:pStyle w:val="6"/>
        <w:rPr>
          <w:i/>
        </w:rPr>
      </w:pPr>
    </w:p>
    <w:p w14:paraId="42CA69A2">
      <w:pPr>
        <w:pStyle w:val="6"/>
        <w:rPr>
          <w:i/>
        </w:rPr>
      </w:pPr>
    </w:p>
    <w:p w14:paraId="644F07FF">
      <w:pPr>
        <w:pStyle w:val="6"/>
        <w:spacing w:before="8"/>
        <w:rPr>
          <w:i/>
        </w:rPr>
      </w:pPr>
    </w:p>
    <w:p w14:paraId="49998514">
      <w:pPr>
        <w:pStyle w:val="3"/>
        <w:numPr>
          <w:ilvl w:val="0"/>
          <w:numId w:val="3"/>
        </w:numPr>
        <w:tabs>
          <w:tab w:val="left" w:pos="540"/>
        </w:tabs>
        <w:spacing w:before="0" w:after="0" w:line="240" w:lineRule="auto"/>
        <w:ind w:left="540" w:right="0" w:hanging="180"/>
        <w:jc w:val="both"/>
        <w:rPr>
          <w:u w:val="single"/>
        </w:rPr>
      </w:pPr>
      <w:r>
        <w:rPr>
          <w:spacing w:val="-5"/>
          <w:u w:val="single"/>
        </w:rPr>
        <w:t xml:space="preserve"> </w:t>
      </w:r>
      <w:r>
        <w:rPr>
          <w:u w:val="single"/>
        </w:rPr>
        <w:t>​Data</w:t>
      </w:r>
      <w:r>
        <w:rPr>
          <w:spacing w:val="-2"/>
          <w:u w:val="single"/>
        </w:rPr>
        <w:t xml:space="preserve"> </w:t>
      </w:r>
      <w:r>
        <w:rPr>
          <w:u w:val="single"/>
        </w:rPr>
        <w:t>Analysis</w:t>
      </w:r>
      <w:r>
        <w:rPr>
          <w:spacing w:val="-3"/>
          <w:u w:val="single"/>
        </w:rPr>
        <w:t xml:space="preserve"> </w:t>
      </w:r>
      <w:r>
        <w:rPr>
          <w:u w:val="single"/>
        </w:rPr>
        <w:t>and</w:t>
      </w:r>
      <w:r>
        <w:rPr>
          <w:spacing w:val="-2"/>
          <w:u w:val="single"/>
        </w:rPr>
        <w:t xml:space="preserve"> </w:t>
      </w:r>
      <w:r>
        <w:rPr>
          <w:u w:val="single"/>
        </w:rPr>
        <w:t>Scenario</w:t>
      </w:r>
      <w:r>
        <w:rPr>
          <w:spacing w:val="-2"/>
          <w:u w:val="single"/>
        </w:rPr>
        <w:t xml:space="preserve"> Evaluation</w:t>
      </w:r>
    </w:p>
    <w:p w14:paraId="3061AE56">
      <w:pPr>
        <w:pStyle w:val="6"/>
        <w:ind w:left="360" w:right="359"/>
        <w:jc w:val="both"/>
      </w:pPr>
      <w:r>
        <w:t xml:space="preserve">To evaluate the operational trajectory of Al-Gezira State, this section triangulates field survey metrics and key informant insights against the behaviors of the three mapped actors across our core analytical </w:t>
      </w:r>
      <w:r>
        <w:rPr>
          <w:spacing w:val="-2"/>
        </w:rPr>
        <w:t>vectors.</w:t>
      </w:r>
    </w:p>
    <w:p w14:paraId="70ABE669">
      <w:pPr>
        <w:pStyle w:val="6"/>
        <w:spacing w:before="5"/>
      </w:pPr>
    </w:p>
    <w:p w14:paraId="29D6BD54">
      <w:pPr>
        <w:pStyle w:val="3"/>
        <w:numPr>
          <w:ilvl w:val="1"/>
          <w:numId w:val="3"/>
        </w:numPr>
        <w:tabs>
          <w:tab w:val="left" w:pos="660"/>
        </w:tabs>
        <w:spacing w:before="0" w:after="0" w:line="240" w:lineRule="auto"/>
        <w:ind w:left="660" w:right="0" w:hanging="300"/>
        <w:jc w:val="both"/>
        <w:rPr>
          <w:u w:val="single"/>
        </w:rPr>
      </w:pPr>
      <w:r>
        <w:rPr>
          <w:spacing w:val="-2"/>
          <w:u w:val="single"/>
        </w:rPr>
        <w:t xml:space="preserve"> </w:t>
      </w:r>
      <w:r>
        <w:rPr>
          <w:u w:val="single"/>
        </w:rPr>
        <w:t>​Scenario</w:t>
      </w:r>
      <w:r>
        <w:rPr>
          <w:spacing w:val="-1"/>
          <w:u w:val="single"/>
        </w:rPr>
        <w:t xml:space="preserve"> </w:t>
      </w:r>
      <w:r>
        <w:rPr>
          <w:u w:val="single"/>
        </w:rPr>
        <w:t>1:</w:t>
      </w:r>
      <w:r>
        <w:rPr>
          <w:spacing w:val="-2"/>
          <w:u w:val="single"/>
        </w:rPr>
        <w:t xml:space="preserve"> </w:t>
      </w:r>
      <w:r>
        <w:rPr>
          <w:u w:val="single"/>
        </w:rPr>
        <w:t>The</w:t>
      </w:r>
      <w:r>
        <w:rPr>
          <w:spacing w:val="-2"/>
          <w:u w:val="single"/>
        </w:rPr>
        <w:t xml:space="preserve"> </w:t>
      </w:r>
      <w:r>
        <w:rPr>
          <w:u w:val="single"/>
        </w:rPr>
        <w:t xml:space="preserve">Fragmentation </w:t>
      </w:r>
      <w:r>
        <w:rPr>
          <w:spacing w:val="-4"/>
          <w:u w:val="single"/>
        </w:rPr>
        <w:t>Trap</w:t>
      </w:r>
    </w:p>
    <w:p w14:paraId="0753EE3A">
      <w:pPr>
        <w:pStyle w:val="3"/>
        <w:spacing w:after="0" w:line="240" w:lineRule="auto"/>
        <w:jc w:val="both"/>
        <w:sectPr>
          <w:pgSz w:w="12240" w:h="15840"/>
          <w:pgMar w:top="1340" w:right="720" w:bottom="1240" w:left="720" w:header="72" w:footer="966" w:gutter="0"/>
          <w:cols w:space="720" w:num="1"/>
        </w:sectPr>
      </w:pPr>
    </w:p>
    <w:p w14:paraId="73C545EE">
      <w:pPr>
        <w:spacing w:before="0" w:line="266" w:lineRule="exact"/>
        <w:ind w:left="360" w:right="0" w:firstLine="0"/>
        <w:jc w:val="both"/>
        <w:rPr>
          <w:b/>
          <w:sz w:val="24"/>
        </w:rPr>
      </w:pPr>
      <w:r>
        <w:rPr>
          <w:b/>
          <w:sz w:val="24"/>
        </w:rPr>
        <w:t>State-Level</w:t>
      </w:r>
      <w:r>
        <w:rPr>
          <w:b/>
          <w:spacing w:val="-5"/>
          <w:sz w:val="24"/>
        </w:rPr>
        <w:t xml:space="preserve"> </w:t>
      </w:r>
      <w:r>
        <w:rPr>
          <w:b/>
          <w:sz w:val="24"/>
        </w:rPr>
        <w:t>Coordination</w:t>
      </w:r>
      <w:r>
        <w:rPr>
          <w:b/>
          <w:spacing w:val="-4"/>
          <w:sz w:val="24"/>
        </w:rPr>
        <w:t xml:space="preserve"> </w:t>
      </w:r>
      <w:r>
        <w:rPr>
          <w:b/>
          <w:sz w:val="24"/>
        </w:rPr>
        <w:t>and</w:t>
      </w:r>
      <w:r>
        <w:rPr>
          <w:b/>
          <w:spacing w:val="-4"/>
          <w:sz w:val="24"/>
        </w:rPr>
        <w:t xml:space="preserve"> </w:t>
      </w:r>
      <w:r>
        <w:rPr>
          <w:b/>
          <w:sz w:val="24"/>
        </w:rPr>
        <w:t>Relations</w:t>
      </w:r>
      <w:r>
        <w:rPr>
          <w:b/>
          <w:spacing w:val="-5"/>
          <w:sz w:val="24"/>
        </w:rPr>
        <w:t xml:space="preserve"> </w:t>
      </w:r>
      <w:r>
        <w:rPr>
          <w:b/>
          <w:sz w:val="24"/>
        </w:rPr>
        <w:t>Between</w:t>
      </w:r>
      <w:r>
        <w:rPr>
          <w:b/>
          <w:spacing w:val="-4"/>
          <w:sz w:val="24"/>
        </w:rPr>
        <w:t xml:space="preserve"> </w:t>
      </w:r>
      <w:r>
        <w:rPr>
          <w:b/>
          <w:sz w:val="24"/>
        </w:rPr>
        <w:t>Armed</w:t>
      </w:r>
      <w:r>
        <w:rPr>
          <w:b/>
          <w:spacing w:val="-4"/>
          <w:sz w:val="24"/>
        </w:rPr>
        <w:t xml:space="preserve"> </w:t>
      </w:r>
      <w:r>
        <w:rPr>
          <w:b/>
          <w:spacing w:val="-2"/>
          <w:sz w:val="24"/>
        </w:rPr>
        <w:t>Entities</w:t>
      </w:r>
    </w:p>
    <w:p w14:paraId="554A3652">
      <w:pPr>
        <w:pStyle w:val="6"/>
        <w:spacing w:before="2"/>
        <w:rPr>
          <w:b/>
        </w:rPr>
      </w:pPr>
    </w:p>
    <w:p w14:paraId="4899578D">
      <w:pPr>
        <w:pStyle w:val="6"/>
        <w:spacing w:before="1"/>
        <w:ind w:left="360" w:right="358"/>
        <w:jc w:val="both"/>
      </w:pPr>
      <w:r>
        <w:t>The</w:t>
      </w:r>
      <w:r>
        <w:rPr>
          <w:spacing w:val="-1"/>
        </w:rPr>
        <w:t xml:space="preserve"> </w:t>
      </w:r>
      <w:r>
        <w:t>relationship and coordination among armed entities within the</w:t>
      </w:r>
      <w:r>
        <w:rPr>
          <w:spacing w:val="-1"/>
        </w:rPr>
        <w:t xml:space="preserve"> </w:t>
      </w:r>
      <w:r>
        <w:t>state are</w:t>
      </w:r>
      <w:r>
        <w:rPr>
          <w:spacing w:val="-1"/>
        </w:rPr>
        <w:t xml:space="preserve"> </w:t>
      </w:r>
      <w:r>
        <w:t>highly complex. Beyond the baseline field and operational coordination that exists between these factions and official security institutions—namely the Armed Forces, Military Intelligence, and the General Intelligence Service—strict protocols are in place to maintain a "unity of command and control" in ongoing battles against the RSF. However, the broader internal dynamic is governed by a precarious mix of a forced military alliance on one hand, and latent suspicion and competition on the other. This fragile ecosystem is</w:t>
      </w:r>
      <w:r>
        <w:rPr>
          <w:spacing w:val="40"/>
        </w:rPr>
        <w:t xml:space="preserve"> </w:t>
      </w:r>
      <w:r>
        <w:t xml:space="preserve">heavily strained by a social and tribal fabric fractured by years of warfare and widespread regional </w:t>
      </w:r>
      <w:r>
        <w:rPr>
          <w:spacing w:val="-2"/>
        </w:rPr>
        <w:t>violations.</w:t>
      </w:r>
    </w:p>
    <w:p w14:paraId="78860E99">
      <w:pPr>
        <w:pStyle w:val="6"/>
      </w:pPr>
    </w:p>
    <w:p w14:paraId="16FB832C">
      <w:pPr>
        <w:pStyle w:val="6"/>
        <w:ind w:left="360" w:right="360" w:firstLine="360"/>
        <w:jc w:val="both"/>
      </w:pPr>
      <w:r>
        <w:t>Field reports and public opinion assessments reveal that the exact nature of coordination between these armed groups and their alignment with official state forces varies widely. Relationships fluctuate between autonomy, open disagreement, and outright competition, heavily dictated by geographic positioning and local community support:</w:t>
      </w:r>
    </w:p>
    <w:p w14:paraId="672E0600">
      <w:pPr>
        <w:pStyle w:val="6"/>
        <w:spacing w:before="5"/>
      </w:pPr>
    </w:p>
    <w:p w14:paraId="544DCFCB">
      <w:pPr>
        <w:pStyle w:val="10"/>
        <w:numPr>
          <w:ilvl w:val="0"/>
          <w:numId w:val="5"/>
        </w:numPr>
        <w:tabs>
          <w:tab w:val="left" w:pos="1080"/>
        </w:tabs>
        <w:spacing w:before="0" w:after="0" w:line="240" w:lineRule="auto"/>
        <w:ind w:left="1080" w:right="358" w:hanging="360"/>
        <w:jc w:val="both"/>
        <w:rPr>
          <w:sz w:val="24"/>
        </w:rPr>
      </w:pPr>
      <w:r>
        <w:rPr>
          <w:b/>
          <w:sz w:val="24"/>
        </w:rPr>
        <w:t xml:space="preserve">Autonomy and Spheres of Influence: </w:t>
      </w:r>
      <w:r>
        <w:rPr>
          <w:sz w:val="24"/>
        </w:rPr>
        <w:t>Certain factions operate with substantial autonomy in managing local affairs. This is highly visible in the localized influence of the Sudan Shield Forces across the towns and villages of East Al-Gezira and Al-Hasahisa. Concurrently, Darfuri armed movements are gaining broader acceptance and traction within specific sub-sectors of the state, particularly among the Kanabi (seasonal labor camp) residents throughout the rural belt.</w:t>
      </w:r>
    </w:p>
    <w:p w14:paraId="7086EB94">
      <w:pPr>
        <w:pStyle w:val="10"/>
        <w:numPr>
          <w:ilvl w:val="0"/>
          <w:numId w:val="5"/>
        </w:numPr>
        <w:tabs>
          <w:tab w:val="left" w:pos="1080"/>
        </w:tabs>
        <w:spacing w:before="0" w:after="0" w:line="240" w:lineRule="auto"/>
        <w:ind w:left="1080" w:right="355" w:hanging="360"/>
        <w:jc w:val="both"/>
        <w:rPr>
          <w:sz w:val="24"/>
        </w:rPr>
      </w:pPr>
      <w:r>
        <w:rPr>
          <w:b/>
          <w:sz w:val="24"/>
        </w:rPr>
        <w:t xml:space="preserve">Lack of Inter-Factional Coordination and Friction: </w:t>
      </w:r>
      <w:r>
        <w:rPr>
          <w:sz w:val="24"/>
        </w:rPr>
        <w:t>There is a pronounced absence of structural coordination between the Darfur "Joint Force" and other localized armed entities, such as the Sudan Shield Forces and the Albara' bin Malik Brigade—with the singular exception of temporary alignments mediated by remnants of the dissolved National Congress Party (NCP). Furthermore,</w:t>
      </w:r>
      <w:r>
        <w:rPr>
          <w:spacing w:val="-2"/>
          <w:sz w:val="24"/>
        </w:rPr>
        <w:t xml:space="preserve"> </w:t>
      </w:r>
      <w:r>
        <w:rPr>
          <w:sz w:val="24"/>
        </w:rPr>
        <w:t>relations</w:t>
      </w:r>
      <w:r>
        <w:rPr>
          <w:spacing w:val="-2"/>
          <w:sz w:val="24"/>
        </w:rPr>
        <w:t xml:space="preserve"> </w:t>
      </w:r>
      <w:r>
        <w:rPr>
          <w:sz w:val="24"/>
        </w:rPr>
        <w:t>between</w:t>
      </w:r>
      <w:r>
        <w:rPr>
          <w:spacing w:val="-2"/>
          <w:sz w:val="24"/>
        </w:rPr>
        <w:t xml:space="preserve"> </w:t>
      </w:r>
      <w:r>
        <w:rPr>
          <w:sz w:val="24"/>
        </w:rPr>
        <w:t>the</w:t>
      </w:r>
      <w:r>
        <w:rPr>
          <w:spacing w:val="-3"/>
          <w:sz w:val="24"/>
        </w:rPr>
        <w:t xml:space="preserve"> </w:t>
      </w:r>
      <w:r>
        <w:rPr>
          <w:sz w:val="24"/>
        </w:rPr>
        <w:t>Joint</w:t>
      </w:r>
      <w:r>
        <w:rPr>
          <w:spacing w:val="-1"/>
          <w:sz w:val="24"/>
        </w:rPr>
        <w:t xml:space="preserve"> </w:t>
      </w:r>
      <w:r>
        <w:rPr>
          <w:sz w:val="24"/>
        </w:rPr>
        <w:t>Force</w:t>
      </w:r>
      <w:r>
        <w:rPr>
          <w:spacing w:val="-3"/>
          <w:sz w:val="24"/>
        </w:rPr>
        <w:t xml:space="preserve"> </w:t>
      </w:r>
      <w:r>
        <w:rPr>
          <w:sz w:val="24"/>
        </w:rPr>
        <w:t>and</w:t>
      </w:r>
      <w:r>
        <w:rPr>
          <w:spacing w:val="-2"/>
          <w:sz w:val="24"/>
        </w:rPr>
        <w:t xml:space="preserve"> </w:t>
      </w:r>
      <w:r>
        <w:rPr>
          <w:sz w:val="24"/>
        </w:rPr>
        <w:t>official</w:t>
      </w:r>
      <w:r>
        <w:rPr>
          <w:spacing w:val="-2"/>
          <w:sz w:val="24"/>
        </w:rPr>
        <w:t xml:space="preserve"> </w:t>
      </w:r>
      <w:r>
        <w:rPr>
          <w:sz w:val="24"/>
        </w:rPr>
        <w:t>army/security</w:t>
      </w:r>
      <w:r>
        <w:rPr>
          <w:spacing w:val="-2"/>
          <w:sz w:val="24"/>
        </w:rPr>
        <w:t xml:space="preserve"> </w:t>
      </w:r>
      <w:r>
        <w:rPr>
          <w:sz w:val="24"/>
        </w:rPr>
        <w:t>apparatuses</w:t>
      </w:r>
      <w:r>
        <w:rPr>
          <w:spacing w:val="-2"/>
          <w:sz w:val="24"/>
        </w:rPr>
        <w:t xml:space="preserve"> </w:t>
      </w:r>
      <w:r>
        <w:rPr>
          <w:sz w:val="24"/>
        </w:rPr>
        <w:t>are</w:t>
      </w:r>
      <w:r>
        <w:rPr>
          <w:spacing w:val="-3"/>
          <w:sz w:val="24"/>
        </w:rPr>
        <w:t xml:space="preserve"> </w:t>
      </w:r>
      <w:r>
        <w:rPr>
          <w:sz w:val="24"/>
        </w:rPr>
        <w:t>marked by recurring friction, particularly in the state capital, Wad Madani, where local populations frequently protest its presence.</w:t>
      </w:r>
    </w:p>
    <w:p w14:paraId="5EFDA1B1">
      <w:pPr>
        <w:pStyle w:val="10"/>
        <w:numPr>
          <w:ilvl w:val="0"/>
          <w:numId w:val="5"/>
        </w:numPr>
        <w:tabs>
          <w:tab w:val="left" w:pos="1080"/>
        </w:tabs>
        <w:spacing w:before="1" w:after="0" w:line="240" w:lineRule="auto"/>
        <w:ind w:left="1080" w:right="356" w:hanging="360"/>
        <w:jc w:val="both"/>
        <w:rPr>
          <w:sz w:val="24"/>
        </w:rPr>
      </w:pPr>
      <w:r>
        <w:rPr>
          <w:b/>
          <w:sz w:val="24"/>
        </w:rPr>
        <w:t xml:space="preserve">Decline and Absence of Official Institutions: </w:t>
      </w:r>
      <w:r>
        <w:rPr>
          <w:sz w:val="24"/>
        </w:rPr>
        <w:t>The police force has largely abandoned its executive</w:t>
      </w:r>
      <w:r>
        <w:rPr>
          <w:spacing w:val="-1"/>
          <w:sz w:val="24"/>
        </w:rPr>
        <w:t xml:space="preserve"> </w:t>
      </w:r>
      <w:r>
        <w:rPr>
          <w:sz w:val="24"/>
        </w:rPr>
        <w:t>and law-enforcement duties, actively avoiding friction or</w:t>
      </w:r>
      <w:r>
        <w:rPr>
          <w:spacing w:val="-1"/>
          <w:sz w:val="24"/>
        </w:rPr>
        <w:t xml:space="preserve"> </w:t>
      </w:r>
      <w:r>
        <w:rPr>
          <w:sz w:val="24"/>
        </w:rPr>
        <w:t>direct engagement with these armed factions. While limited cooperation exists in isolated pockets between local tribal administrations and remnants of the police, areas like Al-Huda (within the Al-Manaqil locality) are entirely dominated by the Popular Resistance. Composed largely of elements tied to the former regime, this Popular Resistance has seized administrative control and holds ultimate decision-making authority.</w:t>
      </w:r>
    </w:p>
    <w:p w14:paraId="71D71E19">
      <w:pPr>
        <w:pStyle w:val="10"/>
        <w:numPr>
          <w:ilvl w:val="0"/>
          <w:numId w:val="5"/>
        </w:numPr>
        <w:tabs>
          <w:tab w:val="left" w:pos="1080"/>
        </w:tabs>
        <w:spacing w:before="0" w:after="0" w:line="240" w:lineRule="auto"/>
        <w:ind w:left="1080" w:right="355" w:hanging="360"/>
        <w:jc w:val="both"/>
        <w:rPr>
          <w:sz w:val="24"/>
        </w:rPr>
      </w:pPr>
      <w:r>
        <w:rPr>
          <w:b/>
          <w:sz w:val="24"/>
        </w:rPr>
        <w:t xml:space="preserve">Institutional Displacement: </w:t>
      </w:r>
      <w:r>
        <w:rPr>
          <w:sz w:val="24"/>
        </w:rPr>
        <w:t>Driven by the systemic weakness of official state bodies, armed groups have effectively supplanted local government apparatuses in several regions. The Sudan Shield Forces have emerged as the de facto authority in East Al-Gezira and Al-Hasahisa, while elements of the Albara' bin Malik Brigade exert strict control over portions of Wad Madani.</w:t>
      </w:r>
    </w:p>
    <w:p w14:paraId="60357B74">
      <w:pPr>
        <w:pStyle w:val="6"/>
        <w:spacing w:before="3"/>
      </w:pPr>
    </w:p>
    <w:p w14:paraId="10688062">
      <w:pPr>
        <w:pStyle w:val="3"/>
        <w:jc w:val="both"/>
      </w:pPr>
      <w:r>
        <w:t>Analysis</w:t>
      </w:r>
      <w:r>
        <w:rPr>
          <w:spacing w:val="-2"/>
        </w:rPr>
        <w:t xml:space="preserve"> </w:t>
      </w:r>
      <w:r>
        <w:t>of</w:t>
      </w:r>
      <w:r>
        <w:rPr>
          <w:spacing w:val="-2"/>
        </w:rPr>
        <w:t xml:space="preserve"> </w:t>
      </w:r>
      <w:r>
        <w:t>Vector</w:t>
      </w:r>
      <w:r>
        <w:rPr>
          <w:spacing w:val="-3"/>
        </w:rPr>
        <w:t xml:space="preserve"> </w:t>
      </w:r>
      <w:r>
        <w:t>1 (Militia</w:t>
      </w:r>
      <w:r>
        <w:rPr>
          <w:spacing w:val="-1"/>
        </w:rPr>
        <w:t xml:space="preserve"> </w:t>
      </w:r>
      <w:r>
        <w:t>Re-</w:t>
      </w:r>
      <w:r>
        <w:rPr>
          <w:spacing w:val="-2"/>
        </w:rPr>
        <w:t>Makeup)</w:t>
      </w:r>
    </w:p>
    <w:p w14:paraId="607440CF">
      <w:pPr>
        <w:pStyle w:val="6"/>
        <w:spacing w:before="5"/>
        <w:rPr>
          <w:b/>
        </w:rPr>
      </w:pPr>
    </w:p>
    <w:p w14:paraId="39CE9040">
      <w:pPr>
        <w:pStyle w:val="6"/>
        <w:ind w:left="360" w:right="357"/>
        <w:jc w:val="both"/>
      </w:pPr>
      <w:r>
        <w:t>Empirical field data and consensus among researchers and local respondents confirm that the total lack of structural coordination, coupled with the expanding autonomy of localized factions like the Sudan Shield Forces, has fundamentally altered the security landscape. As official institutions recede, armed groups have stepped into the vacuum as autonomous, highly influential actors. They are institutionalizing</w:t>
      </w:r>
      <w:r>
        <w:rPr>
          <w:spacing w:val="-4"/>
        </w:rPr>
        <w:t xml:space="preserve"> </w:t>
      </w:r>
      <w:r>
        <w:t>their</w:t>
      </w:r>
      <w:r>
        <w:rPr>
          <w:spacing w:val="-1"/>
        </w:rPr>
        <w:t xml:space="preserve"> </w:t>
      </w:r>
      <w:r>
        <w:t>organizational</w:t>
      </w:r>
      <w:r>
        <w:rPr>
          <w:spacing w:val="-1"/>
        </w:rPr>
        <w:t xml:space="preserve"> </w:t>
      </w:r>
      <w:r>
        <w:t>presence</w:t>
      </w:r>
      <w:r>
        <w:rPr>
          <w:spacing w:val="-3"/>
        </w:rPr>
        <w:t xml:space="preserve"> </w:t>
      </w:r>
      <w:r>
        <w:t>within</w:t>
      </w:r>
      <w:r>
        <w:rPr>
          <w:spacing w:val="-1"/>
        </w:rPr>
        <w:t xml:space="preserve"> </w:t>
      </w:r>
      <w:r>
        <w:t>local</w:t>
      </w:r>
      <w:r>
        <w:rPr>
          <w:spacing w:val="-1"/>
        </w:rPr>
        <w:t xml:space="preserve"> </w:t>
      </w:r>
      <w:r>
        <w:t>communities</w:t>
      </w:r>
      <w:r>
        <w:rPr>
          <w:spacing w:val="-3"/>
        </w:rPr>
        <w:t xml:space="preserve"> </w:t>
      </w:r>
      <w:r>
        <w:t>and</w:t>
      </w:r>
      <w:r>
        <w:rPr>
          <w:spacing w:val="-1"/>
        </w:rPr>
        <w:t xml:space="preserve"> </w:t>
      </w:r>
      <w:r>
        <w:t>permanently</w:t>
      </w:r>
      <w:r>
        <w:rPr>
          <w:spacing w:val="-1"/>
        </w:rPr>
        <w:t xml:space="preserve"> </w:t>
      </w:r>
      <w:r>
        <w:t>replacing</w:t>
      </w:r>
      <w:r>
        <w:rPr>
          <w:spacing w:val="1"/>
        </w:rPr>
        <w:t xml:space="preserve"> </w:t>
      </w:r>
      <w:r>
        <w:rPr>
          <w:spacing w:val="-2"/>
        </w:rPr>
        <w:t>state</w:t>
      </w:r>
    </w:p>
    <w:p w14:paraId="176F0B45">
      <w:pPr>
        <w:pStyle w:val="6"/>
        <w:spacing w:after="0"/>
        <w:jc w:val="both"/>
        <w:sectPr>
          <w:pgSz w:w="12240" w:h="15840"/>
          <w:pgMar w:top="1360" w:right="720" w:bottom="1240" w:left="720" w:header="72" w:footer="966" w:gutter="0"/>
          <w:cols w:space="720" w:num="1"/>
        </w:sectPr>
      </w:pPr>
    </w:p>
    <w:p w14:paraId="75B34D17">
      <w:pPr>
        <w:pStyle w:val="6"/>
        <w:spacing w:line="266" w:lineRule="exact"/>
        <w:ind w:left="360"/>
      </w:pPr>
      <w:r>
        <w:rPr>
          <w:spacing w:val="-2"/>
        </w:rPr>
        <w:t>functions.</w:t>
      </w:r>
    </w:p>
    <w:p w14:paraId="36AFF72F">
      <w:pPr>
        <w:pStyle w:val="6"/>
        <w:spacing w:before="2"/>
      </w:pPr>
    </w:p>
    <w:p w14:paraId="05E68E2F">
      <w:pPr>
        <w:pStyle w:val="6"/>
        <w:spacing w:before="1"/>
        <w:ind w:left="360" w:right="363" w:firstLine="360"/>
        <w:jc w:val="both"/>
      </w:pPr>
      <w:r>
        <w:t>While the capital city of Wad Madani remains a partial exception where some formal state infrastructure persists, institutional displacement is rampant elsewhere:</w:t>
      </w:r>
    </w:p>
    <w:p w14:paraId="48564ED4">
      <w:pPr>
        <w:pStyle w:val="6"/>
        <w:spacing w:before="4"/>
      </w:pPr>
    </w:p>
    <w:p w14:paraId="3EA81707">
      <w:pPr>
        <w:pStyle w:val="10"/>
        <w:numPr>
          <w:ilvl w:val="0"/>
          <w:numId w:val="5"/>
        </w:numPr>
        <w:tabs>
          <w:tab w:val="left" w:pos="1080"/>
        </w:tabs>
        <w:spacing w:before="0" w:after="0" w:line="240" w:lineRule="auto"/>
        <w:ind w:left="1080" w:right="357" w:hanging="360"/>
        <w:jc w:val="left"/>
        <w:rPr>
          <w:sz w:val="24"/>
        </w:rPr>
      </w:pPr>
      <w:r>
        <w:rPr>
          <w:sz w:val="24"/>
        </w:rPr>
        <w:t>The</w:t>
      </w:r>
      <w:r>
        <w:rPr>
          <w:spacing w:val="40"/>
          <w:sz w:val="24"/>
        </w:rPr>
        <w:t xml:space="preserve"> </w:t>
      </w:r>
      <w:r>
        <w:rPr>
          <w:sz w:val="24"/>
        </w:rPr>
        <w:t>Sudan</w:t>
      </w:r>
      <w:r>
        <w:rPr>
          <w:spacing w:val="40"/>
          <w:sz w:val="24"/>
        </w:rPr>
        <w:t xml:space="preserve"> </w:t>
      </w:r>
      <w:r>
        <w:rPr>
          <w:sz w:val="24"/>
        </w:rPr>
        <w:t>Shield</w:t>
      </w:r>
      <w:r>
        <w:rPr>
          <w:spacing w:val="40"/>
          <w:sz w:val="24"/>
        </w:rPr>
        <w:t xml:space="preserve"> </w:t>
      </w:r>
      <w:r>
        <w:rPr>
          <w:sz w:val="24"/>
        </w:rPr>
        <w:t>Forces</w:t>
      </w:r>
      <w:r>
        <w:rPr>
          <w:spacing w:val="40"/>
          <w:sz w:val="24"/>
        </w:rPr>
        <w:t xml:space="preserve"> </w:t>
      </w:r>
      <w:r>
        <w:rPr>
          <w:sz w:val="24"/>
        </w:rPr>
        <w:t>dominate</w:t>
      </w:r>
      <w:r>
        <w:rPr>
          <w:spacing w:val="40"/>
          <w:sz w:val="24"/>
        </w:rPr>
        <w:t xml:space="preserve"> </w:t>
      </w:r>
      <w:r>
        <w:rPr>
          <w:sz w:val="24"/>
        </w:rPr>
        <w:t>the</w:t>
      </w:r>
      <w:r>
        <w:rPr>
          <w:spacing w:val="40"/>
          <w:sz w:val="24"/>
        </w:rPr>
        <w:t xml:space="preserve"> </w:t>
      </w:r>
      <w:r>
        <w:rPr>
          <w:sz w:val="24"/>
        </w:rPr>
        <w:t>East</w:t>
      </w:r>
      <w:r>
        <w:rPr>
          <w:spacing w:val="40"/>
          <w:sz w:val="24"/>
        </w:rPr>
        <w:t xml:space="preserve"> </w:t>
      </w:r>
      <w:r>
        <w:rPr>
          <w:sz w:val="24"/>
        </w:rPr>
        <w:t>Al-Gezira</w:t>
      </w:r>
      <w:r>
        <w:rPr>
          <w:spacing w:val="40"/>
          <w:sz w:val="24"/>
        </w:rPr>
        <w:t xml:space="preserve"> </w:t>
      </w:r>
      <w:r>
        <w:rPr>
          <w:sz w:val="24"/>
        </w:rPr>
        <w:t>locality</w:t>
      </w:r>
      <w:r>
        <w:rPr>
          <w:spacing w:val="40"/>
          <w:sz w:val="24"/>
        </w:rPr>
        <w:t xml:space="preserve"> </w:t>
      </w:r>
      <w:r>
        <w:rPr>
          <w:sz w:val="24"/>
        </w:rPr>
        <w:t>and</w:t>
      </w:r>
      <w:r>
        <w:rPr>
          <w:spacing w:val="40"/>
          <w:sz w:val="24"/>
        </w:rPr>
        <w:t xml:space="preserve"> </w:t>
      </w:r>
      <w:r>
        <w:rPr>
          <w:sz w:val="24"/>
        </w:rPr>
        <w:t>parts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 xml:space="preserve">Al-Hasahisa </w:t>
      </w:r>
      <w:r>
        <w:rPr>
          <w:spacing w:val="-2"/>
          <w:sz w:val="24"/>
        </w:rPr>
        <w:t>locality.</w:t>
      </w:r>
    </w:p>
    <w:p w14:paraId="25A9E716">
      <w:pPr>
        <w:pStyle w:val="10"/>
        <w:numPr>
          <w:ilvl w:val="0"/>
          <w:numId w:val="5"/>
        </w:numPr>
        <w:tabs>
          <w:tab w:val="left" w:pos="1080"/>
        </w:tabs>
        <w:spacing w:before="0" w:after="0" w:line="240" w:lineRule="auto"/>
        <w:ind w:left="1080" w:right="354" w:hanging="360"/>
        <w:jc w:val="left"/>
        <w:rPr>
          <w:sz w:val="24"/>
        </w:rPr>
      </w:pPr>
      <w:r>
        <w:rPr>
          <w:sz w:val="24"/>
        </w:rPr>
        <w:t>Islamist factions and the Popular Resistance dictate governance in several Al-Manaqil villages,</w:t>
      </w:r>
      <w:r>
        <w:rPr>
          <w:spacing w:val="40"/>
          <w:sz w:val="24"/>
        </w:rPr>
        <w:t xml:space="preserve"> </w:t>
      </w:r>
      <w:r>
        <w:rPr>
          <w:sz w:val="24"/>
        </w:rPr>
        <w:t>as well as northern and southern sectors of Al-Gezira.</w:t>
      </w:r>
    </w:p>
    <w:p w14:paraId="78F3A859">
      <w:pPr>
        <w:pStyle w:val="10"/>
        <w:numPr>
          <w:ilvl w:val="0"/>
          <w:numId w:val="5"/>
        </w:numPr>
        <w:tabs>
          <w:tab w:val="left" w:pos="1080"/>
        </w:tabs>
        <w:spacing w:before="1" w:after="0" w:line="240" w:lineRule="auto"/>
        <w:ind w:left="1080" w:right="360" w:hanging="360"/>
        <w:jc w:val="left"/>
        <w:rPr>
          <w:sz w:val="24"/>
        </w:rPr>
      </w:pPr>
      <w:r>
        <w:rPr>
          <w:sz w:val="24"/>
        </w:rPr>
        <w:t>The</w:t>
      </w:r>
      <w:r>
        <w:rPr>
          <w:spacing w:val="-5"/>
          <w:sz w:val="24"/>
        </w:rPr>
        <w:t xml:space="preserve"> </w:t>
      </w:r>
      <w:r>
        <w:rPr>
          <w:sz w:val="24"/>
        </w:rPr>
        <w:t>Justice</w:t>
      </w:r>
      <w:r>
        <w:rPr>
          <w:spacing w:val="-5"/>
          <w:sz w:val="24"/>
        </w:rPr>
        <w:t xml:space="preserve"> </w:t>
      </w:r>
      <w:r>
        <w:rPr>
          <w:sz w:val="24"/>
        </w:rPr>
        <w:t>and</w:t>
      </w:r>
      <w:r>
        <w:rPr>
          <w:spacing w:val="-3"/>
          <w:sz w:val="24"/>
        </w:rPr>
        <w:t xml:space="preserve"> </w:t>
      </w:r>
      <w:r>
        <w:rPr>
          <w:sz w:val="24"/>
        </w:rPr>
        <w:t>Equality</w:t>
      </w:r>
      <w:r>
        <w:rPr>
          <w:spacing w:val="-3"/>
          <w:sz w:val="24"/>
        </w:rPr>
        <w:t xml:space="preserve"> </w:t>
      </w:r>
      <w:r>
        <w:rPr>
          <w:sz w:val="24"/>
        </w:rPr>
        <w:t>Movement</w:t>
      </w:r>
      <w:r>
        <w:rPr>
          <w:spacing w:val="-3"/>
          <w:sz w:val="24"/>
        </w:rPr>
        <w:t xml:space="preserve"> </w:t>
      </w:r>
      <w:r>
        <w:rPr>
          <w:sz w:val="24"/>
        </w:rPr>
        <w:t>(JEM)</w:t>
      </w:r>
      <w:r>
        <w:rPr>
          <w:spacing w:val="-4"/>
          <w:sz w:val="24"/>
        </w:rPr>
        <w:t xml:space="preserve"> </w:t>
      </w:r>
      <w:r>
        <w:rPr>
          <w:sz w:val="24"/>
        </w:rPr>
        <w:t>has</w:t>
      </w:r>
      <w:r>
        <w:rPr>
          <w:spacing w:val="-1"/>
          <w:sz w:val="24"/>
        </w:rPr>
        <w:t xml:space="preserve"> </w:t>
      </w:r>
      <w:r>
        <w:rPr>
          <w:sz w:val="24"/>
        </w:rPr>
        <w:t>established</w:t>
      </w:r>
      <w:r>
        <w:rPr>
          <w:spacing w:val="-3"/>
          <w:sz w:val="24"/>
        </w:rPr>
        <w:t xml:space="preserve"> </w:t>
      </w:r>
      <w:r>
        <w:rPr>
          <w:sz w:val="24"/>
        </w:rPr>
        <w:t>a</w:t>
      </w:r>
      <w:r>
        <w:rPr>
          <w:spacing w:val="-4"/>
          <w:sz w:val="24"/>
        </w:rPr>
        <w:t xml:space="preserve"> </w:t>
      </w:r>
      <w:r>
        <w:rPr>
          <w:sz w:val="24"/>
        </w:rPr>
        <w:t>competitive</w:t>
      </w:r>
      <w:r>
        <w:rPr>
          <w:spacing w:val="-3"/>
          <w:sz w:val="24"/>
        </w:rPr>
        <w:t xml:space="preserve"> </w:t>
      </w:r>
      <w:r>
        <w:rPr>
          <w:sz w:val="24"/>
        </w:rPr>
        <w:t>foothold</w:t>
      </w:r>
      <w:r>
        <w:rPr>
          <w:spacing w:val="-3"/>
          <w:sz w:val="24"/>
        </w:rPr>
        <w:t xml:space="preserve"> </w:t>
      </w:r>
      <w:r>
        <w:rPr>
          <w:sz w:val="24"/>
        </w:rPr>
        <w:t>within</w:t>
      </w:r>
      <w:r>
        <w:rPr>
          <w:spacing w:val="-3"/>
          <w:sz w:val="24"/>
        </w:rPr>
        <w:t xml:space="preserve"> </w:t>
      </w:r>
      <w:r>
        <w:rPr>
          <w:sz w:val="24"/>
        </w:rPr>
        <w:t>specific Kanabi communities.</w:t>
      </w:r>
    </w:p>
    <w:p w14:paraId="0EB7B9D2">
      <w:pPr>
        <w:pStyle w:val="6"/>
        <w:spacing w:before="4"/>
      </w:pPr>
    </w:p>
    <w:p w14:paraId="44125C94">
      <w:pPr>
        <w:pStyle w:val="6"/>
        <w:ind w:left="360" w:right="356" w:firstLine="360"/>
        <w:jc w:val="both"/>
      </w:pPr>
      <w:r>
        <w:t>This fragmentation is further accelerated by deep-seated tribal dynamics, recurring localized skirmishes, and community backlash against certain external military formations, most notably against JEM splinters. Field experts note that macro-level competition, fragmentation, and political disputes inevitably trigger a breakdown of local command structures. When top-tier leadership fractures, local sub-commands split off to fight exclusively for localized survival and micro-geographic control.</w:t>
      </w:r>
    </w:p>
    <w:p w14:paraId="5CF08393">
      <w:pPr>
        <w:pStyle w:val="6"/>
        <w:spacing w:before="3"/>
      </w:pPr>
    </w:p>
    <w:p w14:paraId="7A58516F">
      <w:pPr>
        <w:pStyle w:val="3"/>
        <w:numPr>
          <w:ilvl w:val="1"/>
          <w:numId w:val="3"/>
        </w:numPr>
        <w:tabs>
          <w:tab w:val="left" w:pos="660"/>
        </w:tabs>
        <w:spacing w:before="1" w:after="0" w:line="240" w:lineRule="auto"/>
        <w:ind w:left="660" w:right="0" w:hanging="300"/>
        <w:jc w:val="left"/>
        <w:rPr>
          <w:u w:val="single"/>
        </w:rPr>
      </w:pPr>
      <w:r>
        <w:rPr>
          <w:spacing w:val="-3"/>
          <w:u w:val="single"/>
        </w:rPr>
        <w:t xml:space="preserve"> </w:t>
      </w:r>
      <w:r>
        <w:rPr>
          <w:u w:val="single"/>
        </w:rPr>
        <w:t>​Evaluating</w:t>
      </w:r>
      <w:r>
        <w:rPr>
          <w:spacing w:val="-2"/>
          <w:u w:val="single"/>
        </w:rPr>
        <w:t xml:space="preserve"> </w:t>
      </w:r>
      <w:r>
        <w:rPr>
          <w:u w:val="single"/>
        </w:rPr>
        <w:t>Scenario</w:t>
      </w:r>
      <w:r>
        <w:rPr>
          <w:spacing w:val="-3"/>
          <w:u w:val="single"/>
        </w:rPr>
        <w:t xml:space="preserve"> </w:t>
      </w:r>
      <w:r>
        <w:rPr>
          <w:u w:val="single"/>
        </w:rPr>
        <w:t>2:</w:t>
      </w:r>
      <w:r>
        <w:rPr>
          <w:spacing w:val="-2"/>
          <w:u w:val="single"/>
        </w:rPr>
        <w:t xml:space="preserve"> </w:t>
      </w:r>
      <w:r>
        <w:rPr>
          <w:u w:val="single"/>
        </w:rPr>
        <w:t>The</w:t>
      </w:r>
      <w:r>
        <w:rPr>
          <w:spacing w:val="-3"/>
          <w:u w:val="single"/>
        </w:rPr>
        <w:t xml:space="preserve"> </w:t>
      </w:r>
      <w:r>
        <w:rPr>
          <w:u w:val="single"/>
        </w:rPr>
        <w:t>Warlord</w:t>
      </w:r>
      <w:r>
        <w:rPr>
          <w:spacing w:val="-2"/>
          <w:u w:val="single"/>
        </w:rPr>
        <w:t xml:space="preserve"> Cartel</w:t>
      </w:r>
    </w:p>
    <w:p w14:paraId="1BB3878A">
      <w:pPr>
        <w:pStyle w:val="6"/>
        <w:spacing w:before="4"/>
        <w:rPr>
          <w:b/>
        </w:rPr>
      </w:pPr>
    </w:p>
    <w:p w14:paraId="2F41C2A9">
      <w:pPr>
        <w:pStyle w:val="6"/>
        <w:ind w:left="360" w:right="462"/>
        <w:jc w:val="both"/>
      </w:pPr>
      <w:r>
        <w:t>The</w:t>
      </w:r>
      <w:r>
        <w:rPr>
          <w:spacing w:val="-5"/>
        </w:rPr>
        <w:t xml:space="preserve"> </w:t>
      </w:r>
      <w:r>
        <w:t>transition</w:t>
      </w:r>
      <w:r>
        <w:rPr>
          <w:spacing w:val="-3"/>
        </w:rPr>
        <w:t xml:space="preserve"> </w:t>
      </w:r>
      <w:r>
        <w:t>toward</w:t>
      </w:r>
      <w:r>
        <w:rPr>
          <w:spacing w:val="-3"/>
        </w:rPr>
        <w:t xml:space="preserve"> </w:t>
      </w:r>
      <w:r>
        <w:t>"The</w:t>
      </w:r>
      <w:r>
        <w:rPr>
          <w:spacing w:val="-4"/>
        </w:rPr>
        <w:t xml:space="preserve"> </w:t>
      </w:r>
      <w:r>
        <w:t>Warlord</w:t>
      </w:r>
      <w:r>
        <w:rPr>
          <w:spacing w:val="-3"/>
        </w:rPr>
        <w:t xml:space="preserve"> </w:t>
      </w:r>
      <w:r>
        <w:t>Cartel"</w:t>
      </w:r>
      <w:r>
        <w:rPr>
          <w:spacing w:val="-3"/>
        </w:rPr>
        <w:t xml:space="preserve"> </w:t>
      </w:r>
      <w:r>
        <w:t>is</w:t>
      </w:r>
      <w:r>
        <w:rPr>
          <w:spacing w:val="-4"/>
        </w:rPr>
        <w:t xml:space="preserve"> </w:t>
      </w:r>
      <w:r>
        <w:t>an</w:t>
      </w:r>
      <w:r>
        <w:rPr>
          <w:spacing w:val="-2"/>
        </w:rPr>
        <w:t xml:space="preserve"> </w:t>
      </w:r>
      <w:r>
        <w:t>entrenched</w:t>
      </w:r>
      <w:r>
        <w:rPr>
          <w:spacing w:val="-3"/>
        </w:rPr>
        <w:t xml:space="preserve"> </w:t>
      </w:r>
      <w:r>
        <w:t>economic</w:t>
      </w:r>
      <w:r>
        <w:rPr>
          <w:spacing w:val="-2"/>
        </w:rPr>
        <w:t xml:space="preserve"> </w:t>
      </w:r>
      <w:r>
        <w:t>reality</w:t>
      </w:r>
      <w:r>
        <w:rPr>
          <w:spacing w:val="-3"/>
        </w:rPr>
        <w:t xml:space="preserve"> </w:t>
      </w:r>
      <w:r>
        <w:t>within</w:t>
      </w:r>
      <w:r>
        <w:rPr>
          <w:spacing w:val="-3"/>
        </w:rPr>
        <w:t xml:space="preserve"> </w:t>
      </w:r>
      <w:r>
        <w:t>the</w:t>
      </w:r>
      <w:r>
        <w:rPr>
          <w:spacing w:val="-4"/>
        </w:rPr>
        <w:t xml:space="preserve"> </w:t>
      </w:r>
      <w:r>
        <w:t>secure</w:t>
      </w:r>
      <w:r>
        <w:rPr>
          <w:spacing w:val="-5"/>
        </w:rPr>
        <w:t xml:space="preserve"> </w:t>
      </w:r>
      <w:r>
        <w:t>pockets of</w:t>
      </w:r>
      <w:r>
        <w:rPr>
          <w:spacing w:val="-3"/>
        </w:rPr>
        <w:t xml:space="preserve"> </w:t>
      </w:r>
      <w:r>
        <w:t>Gezira</w:t>
      </w:r>
      <w:r>
        <w:rPr>
          <w:spacing w:val="-4"/>
        </w:rPr>
        <w:t xml:space="preserve"> </w:t>
      </w:r>
      <w:r>
        <w:t>State.</w:t>
      </w:r>
      <w:r>
        <w:rPr>
          <w:spacing w:val="-3"/>
        </w:rPr>
        <w:t xml:space="preserve"> </w:t>
      </w:r>
      <w:r>
        <w:t>This</w:t>
      </w:r>
      <w:r>
        <w:rPr>
          <w:spacing w:val="-4"/>
        </w:rPr>
        <w:t xml:space="preserve"> </w:t>
      </w:r>
      <w:r>
        <w:t>shift</w:t>
      </w:r>
      <w:r>
        <w:rPr>
          <w:spacing w:val="-3"/>
        </w:rPr>
        <w:t xml:space="preserve"> </w:t>
      </w:r>
      <w:r>
        <w:t>is</w:t>
      </w:r>
      <w:r>
        <w:rPr>
          <w:spacing w:val="-4"/>
        </w:rPr>
        <w:t xml:space="preserve"> </w:t>
      </w:r>
      <w:r>
        <w:t>driven</w:t>
      </w:r>
      <w:r>
        <w:rPr>
          <w:spacing w:val="-3"/>
        </w:rPr>
        <w:t xml:space="preserve"> </w:t>
      </w:r>
      <w:r>
        <w:t>by</w:t>
      </w:r>
      <w:r>
        <w:rPr>
          <w:spacing w:val="-3"/>
        </w:rPr>
        <w:t xml:space="preserve"> </w:t>
      </w:r>
      <w:r>
        <w:t>the</w:t>
      </w:r>
      <w:r>
        <w:rPr>
          <w:spacing w:val="-3"/>
        </w:rPr>
        <w:t xml:space="preserve"> </w:t>
      </w:r>
      <w:r>
        <w:t>transactional,</w:t>
      </w:r>
      <w:r>
        <w:rPr>
          <w:spacing w:val="-3"/>
        </w:rPr>
        <w:t xml:space="preserve"> </w:t>
      </w:r>
      <w:r>
        <w:t>adversarial,</w:t>
      </w:r>
      <w:r>
        <w:rPr>
          <w:spacing w:val="-3"/>
        </w:rPr>
        <w:t xml:space="preserve"> </w:t>
      </w:r>
      <w:r>
        <w:t>and</w:t>
      </w:r>
      <w:r>
        <w:rPr>
          <w:spacing w:val="-3"/>
        </w:rPr>
        <w:t xml:space="preserve"> </w:t>
      </w:r>
      <w:r>
        <w:t>competitive</w:t>
      </w:r>
      <w:r>
        <w:rPr>
          <w:spacing w:val="-3"/>
        </w:rPr>
        <w:t xml:space="preserve"> </w:t>
      </w:r>
      <w:r>
        <w:t>dynamics</w:t>
      </w:r>
      <w:r>
        <w:rPr>
          <w:spacing w:val="-4"/>
        </w:rPr>
        <w:t xml:space="preserve"> </w:t>
      </w:r>
      <w:r>
        <w:t>between formal military entities, aligned non-state armed actors, and Islamist factions.</w:t>
      </w:r>
    </w:p>
    <w:p w14:paraId="22F6056B">
      <w:pPr>
        <w:pStyle w:val="6"/>
        <w:spacing w:before="3"/>
      </w:pPr>
    </w:p>
    <w:p w14:paraId="78BF61B9">
      <w:pPr>
        <w:pStyle w:val="3"/>
        <w:jc w:val="both"/>
      </w:pPr>
      <w:r>
        <w:t>The</w:t>
      </w:r>
      <w:r>
        <w:rPr>
          <w:spacing w:val="-3"/>
        </w:rPr>
        <w:t xml:space="preserve"> </w:t>
      </w:r>
      <w:r>
        <w:t>Hybrid</w:t>
      </w:r>
      <w:r>
        <w:rPr>
          <w:spacing w:val="-1"/>
        </w:rPr>
        <w:t xml:space="preserve"> </w:t>
      </w:r>
      <w:r>
        <w:t>Security</w:t>
      </w:r>
      <w:r>
        <w:rPr>
          <w:spacing w:val="-2"/>
        </w:rPr>
        <w:t xml:space="preserve"> Ecosystem</w:t>
      </w:r>
    </w:p>
    <w:p w14:paraId="07E98767">
      <w:pPr>
        <w:pStyle w:val="6"/>
        <w:spacing w:before="5"/>
        <w:rPr>
          <w:b/>
        </w:rPr>
      </w:pPr>
    </w:p>
    <w:p w14:paraId="3CEE6920">
      <w:pPr>
        <w:pStyle w:val="6"/>
        <w:ind w:left="360" w:right="353"/>
        <w:jc w:val="both"/>
      </w:pPr>
      <w:r>
        <w:t xml:space="preserve">Fieldwork indicates that the population of Gezira State now navigates a predatory, factionalized security apparatus where the boundaries separating state administrators, informal militias, and military bandits have largely been erased. Rather than operating under a unified state command, non-state armed factions—most notably the </w:t>
      </w:r>
      <w:r>
        <w:rPr>
          <w:b/>
        </w:rPr>
        <w:t xml:space="preserve">Sudan Shield Forces (SSF) </w:t>
      </w:r>
      <w:r>
        <w:t xml:space="preserve">and the </w:t>
      </w:r>
      <w:r>
        <w:rPr>
          <w:b/>
        </w:rPr>
        <w:t>Justice and Equality Movement (JEM)</w:t>
      </w:r>
      <w:r>
        <w:t>—actively exploit this fluidity. They prioritize the construction of independent, self-sustaining financial foundations to consolidate territorial presence and political influence.</w:t>
      </w:r>
    </w:p>
    <w:p w14:paraId="3A4EB29F">
      <w:pPr>
        <w:pStyle w:val="6"/>
        <w:spacing w:before="4"/>
      </w:pPr>
    </w:p>
    <w:p w14:paraId="724CFABA">
      <w:pPr>
        <w:pStyle w:val="10"/>
        <w:numPr>
          <w:ilvl w:val="0"/>
          <w:numId w:val="6"/>
        </w:numPr>
        <w:tabs>
          <w:tab w:val="left" w:pos="543"/>
        </w:tabs>
        <w:spacing w:before="1" w:after="0" w:line="240" w:lineRule="auto"/>
        <w:ind w:left="543" w:right="0" w:hanging="183"/>
        <w:jc w:val="left"/>
        <w:rPr>
          <w:i/>
          <w:sz w:val="22"/>
        </w:rPr>
      </w:pPr>
      <w:r>
        <w:rPr>
          <w:i/>
          <w:color w:val="365F91"/>
          <w:sz w:val="22"/>
        </w:rPr>
        <w:t>The</w:t>
      </w:r>
      <w:r>
        <w:rPr>
          <w:i/>
          <w:color w:val="365F91"/>
          <w:spacing w:val="-4"/>
          <w:sz w:val="22"/>
        </w:rPr>
        <w:t xml:space="preserve"> </w:t>
      </w:r>
      <w:r>
        <w:rPr>
          <w:i/>
          <w:color w:val="365F91"/>
          <w:sz w:val="22"/>
        </w:rPr>
        <w:t>Sudan</w:t>
      </w:r>
      <w:r>
        <w:rPr>
          <w:i/>
          <w:color w:val="365F91"/>
          <w:spacing w:val="-3"/>
          <w:sz w:val="22"/>
        </w:rPr>
        <w:t xml:space="preserve"> </w:t>
      </w:r>
      <w:r>
        <w:rPr>
          <w:i/>
          <w:color w:val="365F91"/>
          <w:sz w:val="22"/>
        </w:rPr>
        <w:t>Shield</w:t>
      </w:r>
      <w:r>
        <w:rPr>
          <w:i/>
          <w:color w:val="365F91"/>
          <w:spacing w:val="-4"/>
          <w:sz w:val="22"/>
        </w:rPr>
        <w:t xml:space="preserve"> </w:t>
      </w:r>
      <w:r>
        <w:rPr>
          <w:i/>
          <w:color w:val="365F91"/>
          <w:sz w:val="22"/>
        </w:rPr>
        <w:t>Forces</w:t>
      </w:r>
      <w:r>
        <w:rPr>
          <w:i/>
          <w:color w:val="365F91"/>
          <w:spacing w:val="-7"/>
          <w:sz w:val="22"/>
        </w:rPr>
        <w:t xml:space="preserve"> </w:t>
      </w:r>
      <w:r>
        <w:rPr>
          <w:i/>
          <w:color w:val="365F91"/>
          <w:sz w:val="22"/>
        </w:rPr>
        <w:t>(SSF):</w:t>
      </w:r>
      <w:r>
        <w:rPr>
          <w:i/>
          <w:color w:val="365F91"/>
          <w:spacing w:val="-3"/>
          <w:sz w:val="22"/>
        </w:rPr>
        <w:t xml:space="preserve"> </w:t>
      </w:r>
      <w:r>
        <w:rPr>
          <w:i/>
          <w:color w:val="365F91"/>
          <w:sz w:val="22"/>
        </w:rPr>
        <w:t>Hybrid</w:t>
      </w:r>
      <w:r>
        <w:rPr>
          <w:i/>
          <w:color w:val="365F91"/>
          <w:spacing w:val="-3"/>
          <w:sz w:val="22"/>
        </w:rPr>
        <w:t xml:space="preserve"> </w:t>
      </w:r>
      <w:r>
        <w:rPr>
          <w:i/>
          <w:color w:val="365F91"/>
          <w:spacing w:val="-2"/>
          <w:sz w:val="22"/>
        </w:rPr>
        <w:t>Financing</w:t>
      </w:r>
    </w:p>
    <w:p w14:paraId="0E0A12DC">
      <w:pPr>
        <w:pStyle w:val="6"/>
        <w:spacing w:before="27"/>
        <w:rPr>
          <w:i/>
          <w:sz w:val="22"/>
        </w:rPr>
      </w:pPr>
    </w:p>
    <w:p w14:paraId="1A23C88F">
      <w:pPr>
        <w:pStyle w:val="6"/>
        <w:ind w:left="360" w:right="359"/>
        <w:jc w:val="both"/>
      </w:pPr>
      <w:r>
        <w:t>While the SSF relies on community contributions and in-kind support from their social base, they have aggressively diversified their revenue to offset military overheads. Primary extraction channels include:</w:t>
      </w:r>
    </w:p>
    <w:p w14:paraId="7A409F35">
      <w:pPr>
        <w:pStyle w:val="6"/>
        <w:spacing w:before="3"/>
      </w:pPr>
    </w:p>
    <w:p w14:paraId="79A5CB3B">
      <w:pPr>
        <w:pStyle w:val="10"/>
        <w:numPr>
          <w:ilvl w:val="1"/>
          <w:numId w:val="6"/>
        </w:numPr>
        <w:tabs>
          <w:tab w:val="left" w:pos="1080"/>
        </w:tabs>
        <w:spacing w:before="0" w:after="0" w:line="240" w:lineRule="auto"/>
        <w:ind w:left="1080" w:right="361" w:hanging="360"/>
        <w:jc w:val="both"/>
        <w:rPr>
          <w:sz w:val="24"/>
        </w:rPr>
      </w:pPr>
      <w:r>
        <w:rPr>
          <w:b/>
          <w:sz w:val="24"/>
        </w:rPr>
        <w:t xml:space="preserve">Transit Tolls: </w:t>
      </w:r>
      <w:r>
        <w:rPr>
          <w:sz w:val="24"/>
        </w:rPr>
        <w:t>Establishing arbitrary checkpoints to levy fees on commercial goods, agricultural transport, and civilian movement along critical supply routes.</w:t>
      </w:r>
    </w:p>
    <w:p w14:paraId="53007045">
      <w:pPr>
        <w:pStyle w:val="10"/>
        <w:numPr>
          <w:ilvl w:val="1"/>
          <w:numId w:val="6"/>
        </w:numPr>
        <w:tabs>
          <w:tab w:val="left" w:pos="1080"/>
        </w:tabs>
        <w:spacing w:before="0" w:after="0" w:line="240" w:lineRule="auto"/>
        <w:ind w:left="1080" w:right="362" w:hanging="360"/>
        <w:jc w:val="both"/>
        <w:rPr>
          <w:sz w:val="24"/>
        </w:rPr>
      </w:pPr>
      <w:r>
        <w:rPr>
          <w:b/>
          <w:sz w:val="24"/>
        </w:rPr>
        <w:t xml:space="preserve">Agricultural Extraction: </w:t>
      </w:r>
      <w:r>
        <w:rPr>
          <w:sz w:val="24"/>
        </w:rPr>
        <w:t>Imposing</w:t>
      </w:r>
      <w:r>
        <w:rPr>
          <w:spacing w:val="-2"/>
          <w:sz w:val="24"/>
        </w:rPr>
        <w:t xml:space="preserve"> </w:t>
      </w:r>
      <w:r>
        <w:rPr>
          <w:sz w:val="24"/>
        </w:rPr>
        <w:t>compulsory</w:t>
      </w:r>
      <w:r>
        <w:rPr>
          <w:spacing w:val="-3"/>
          <w:sz w:val="24"/>
        </w:rPr>
        <w:t xml:space="preserve"> </w:t>
      </w:r>
      <w:r>
        <w:rPr>
          <w:sz w:val="24"/>
        </w:rPr>
        <w:t>in-kind</w:t>
      </w:r>
      <w:r>
        <w:rPr>
          <w:spacing w:val="-2"/>
          <w:sz w:val="24"/>
        </w:rPr>
        <w:t xml:space="preserve"> </w:t>
      </w:r>
      <w:r>
        <w:rPr>
          <w:sz w:val="24"/>
        </w:rPr>
        <w:t>or</w:t>
      </w:r>
      <w:r>
        <w:rPr>
          <w:spacing w:val="-3"/>
          <w:sz w:val="24"/>
        </w:rPr>
        <w:t xml:space="preserve"> </w:t>
      </w:r>
      <w:r>
        <w:rPr>
          <w:sz w:val="24"/>
        </w:rPr>
        <w:t>cash</w:t>
      </w:r>
      <w:r>
        <w:rPr>
          <w:spacing w:val="-2"/>
          <w:sz w:val="24"/>
        </w:rPr>
        <w:t xml:space="preserve"> </w:t>
      </w:r>
      <w:r>
        <w:rPr>
          <w:sz w:val="24"/>
        </w:rPr>
        <w:t>levies</w:t>
      </w:r>
      <w:r>
        <w:rPr>
          <w:spacing w:val="-3"/>
          <w:sz w:val="24"/>
        </w:rPr>
        <w:t xml:space="preserve"> </w:t>
      </w:r>
      <w:r>
        <w:rPr>
          <w:sz w:val="24"/>
        </w:rPr>
        <w:t>on</w:t>
      </w:r>
      <w:r>
        <w:rPr>
          <w:spacing w:val="-2"/>
          <w:sz w:val="24"/>
        </w:rPr>
        <w:t xml:space="preserve"> </w:t>
      </w:r>
      <w:r>
        <w:rPr>
          <w:sz w:val="24"/>
        </w:rPr>
        <w:t>farmers</w:t>
      </w:r>
      <w:r>
        <w:rPr>
          <w:spacing w:val="-3"/>
          <w:sz w:val="24"/>
        </w:rPr>
        <w:t xml:space="preserve"> </w:t>
      </w:r>
      <w:r>
        <w:rPr>
          <w:sz w:val="24"/>
        </w:rPr>
        <w:t>during</w:t>
      </w:r>
      <w:r>
        <w:rPr>
          <w:spacing w:val="-3"/>
          <w:sz w:val="24"/>
        </w:rPr>
        <w:t xml:space="preserve"> </w:t>
      </w:r>
      <w:r>
        <w:rPr>
          <w:sz w:val="24"/>
        </w:rPr>
        <w:t>harvest cycles, effectively operating as a parallel tax authority.</w:t>
      </w:r>
    </w:p>
    <w:p w14:paraId="5548D4F9">
      <w:pPr>
        <w:pStyle w:val="10"/>
        <w:numPr>
          <w:ilvl w:val="1"/>
          <w:numId w:val="6"/>
        </w:numPr>
        <w:tabs>
          <w:tab w:val="left" w:pos="1080"/>
        </w:tabs>
        <w:spacing w:before="0" w:after="0" w:line="240" w:lineRule="auto"/>
        <w:ind w:left="1080" w:right="360" w:hanging="360"/>
        <w:jc w:val="both"/>
        <w:rPr>
          <w:sz w:val="24"/>
        </w:rPr>
      </w:pPr>
      <w:r>
        <w:rPr>
          <w:b/>
          <w:sz w:val="24"/>
        </w:rPr>
        <w:t xml:space="preserve">Merchant and Diaspora Support: </w:t>
      </w:r>
      <w:r>
        <w:rPr>
          <w:sz w:val="24"/>
        </w:rPr>
        <w:t>Securing defensive financial backing from business owners and diaspora networks native to eastern and southeastern Gezira who view the SSF as a local security guarantor.</w:t>
      </w:r>
    </w:p>
    <w:p w14:paraId="63EB3881">
      <w:pPr>
        <w:pStyle w:val="10"/>
        <w:spacing w:after="0" w:line="240" w:lineRule="auto"/>
        <w:jc w:val="both"/>
        <w:rPr>
          <w:sz w:val="24"/>
        </w:rPr>
        <w:sectPr>
          <w:pgSz w:w="12240" w:h="15840"/>
          <w:pgMar w:top="1360" w:right="720" w:bottom="1240" w:left="720" w:header="72" w:footer="966" w:gutter="0"/>
          <w:cols w:space="720" w:num="1"/>
        </w:sectPr>
      </w:pPr>
    </w:p>
    <w:p w14:paraId="495937E8">
      <w:pPr>
        <w:pStyle w:val="10"/>
        <w:numPr>
          <w:ilvl w:val="1"/>
          <w:numId w:val="6"/>
        </w:numPr>
        <w:tabs>
          <w:tab w:val="left" w:pos="1080"/>
        </w:tabs>
        <w:spacing w:before="0" w:after="0" w:line="240" w:lineRule="auto"/>
        <w:ind w:left="1080" w:right="359" w:hanging="360"/>
        <w:jc w:val="both"/>
        <w:rPr>
          <w:sz w:val="24"/>
        </w:rPr>
      </w:pPr>
      <w:r>
        <w:rPr>
          <w:b/>
          <w:sz w:val="24"/>
        </w:rPr>
        <w:t xml:space="preserve">Institutional Facilitation: </w:t>
      </w:r>
      <w:r>
        <w:rPr>
          <w:sz w:val="24"/>
        </w:rPr>
        <w:t>The state apparatus provides logistical support, including converting public assets and military camps into exclusive SSF service centers and allocating portions of municipal market taxes and Zakat revenues to SSF units.</w:t>
      </w:r>
    </w:p>
    <w:p w14:paraId="4CCEF931">
      <w:pPr>
        <w:pStyle w:val="10"/>
        <w:numPr>
          <w:ilvl w:val="1"/>
          <w:numId w:val="6"/>
        </w:numPr>
        <w:tabs>
          <w:tab w:val="left" w:pos="1080"/>
        </w:tabs>
        <w:spacing w:before="0" w:after="0" w:line="240" w:lineRule="auto"/>
        <w:ind w:left="1080" w:right="361" w:hanging="360"/>
        <w:jc w:val="both"/>
        <w:rPr>
          <w:sz w:val="24"/>
        </w:rPr>
      </w:pPr>
      <w:r>
        <w:rPr>
          <w:b/>
          <w:sz w:val="24"/>
        </w:rPr>
        <w:t xml:space="preserve">Parallel Investments: </w:t>
      </w:r>
      <w:r>
        <w:rPr>
          <w:sz w:val="24"/>
        </w:rPr>
        <w:t>Consistent field reports indicate SSF involvement in artisanal gold mining, large-scale agricultural operations in the Butana plains, and lucrative machinery imports in Port Sudan and Kassala.</w:t>
      </w:r>
    </w:p>
    <w:p w14:paraId="5494FCD7">
      <w:pPr>
        <w:pStyle w:val="10"/>
        <w:numPr>
          <w:ilvl w:val="0"/>
          <w:numId w:val="6"/>
        </w:numPr>
        <w:tabs>
          <w:tab w:val="left" w:pos="617"/>
        </w:tabs>
        <w:spacing w:before="268" w:after="0" w:line="240" w:lineRule="auto"/>
        <w:ind w:left="617" w:right="0" w:hanging="257"/>
        <w:jc w:val="left"/>
        <w:rPr>
          <w:i/>
          <w:sz w:val="22"/>
        </w:rPr>
      </w:pPr>
      <w:r>
        <w:rPr>
          <w:i/>
          <w:color w:val="365F91"/>
          <w:sz w:val="22"/>
        </w:rPr>
        <w:t>The</w:t>
      </w:r>
      <w:r>
        <w:rPr>
          <w:i/>
          <w:color w:val="365F91"/>
          <w:spacing w:val="-5"/>
          <w:sz w:val="22"/>
        </w:rPr>
        <w:t xml:space="preserve"> </w:t>
      </w:r>
      <w:r>
        <w:rPr>
          <w:i/>
          <w:color w:val="365F91"/>
          <w:sz w:val="22"/>
        </w:rPr>
        <w:t>Justice</w:t>
      </w:r>
      <w:r>
        <w:rPr>
          <w:i/>
          <w:color w:val="365F91"/>
          <w:spacing w:val="-5"/>
          <w:sz w:val="22"/>
        </w:rPr>
        <w:t xml:space="preserve"> </w:t>
      </w:r>
      <w:r>
        <w:rPr>
          <w:i/>
          <w:color w:val="365F91"/>
          <w:sz w:val="22"/>
        </w:rPr>
        <w:t>and</w:t>
      </w:r>
      <w:r>
        <w:rPr>
          <w:i/>
          <w:color w:val="365F91"/>
          <w:spacing w:val="-5"/>
          <w:sz w:val="22"/>
        </w:rPr>
        <w:t xml:space="preserve"> </w:t>
      </w:r>
      <w:r>
        <w:rPr>
          <w:i/>
          <w:color w:val="365F91"/>
          <w:sz w:val="22"/>
        </w:rPr>
        <w:t>Equality</w:t>
      </w:r>
      <w:r>
        <w:rPr>
          <w:i/>
          <w:color w:val="365F91"/>
          <w:spacing w:val="-7"/>
          <w:sz w:val="22"/>
        </w:rPr>
        <w:t xml:space="preserve"> </w:t>
      </w:r>
      <w:r>
        <w:rPr>
          <w:i/>
          <w:color w:val="365F91"/>
          <w:sz w:val="22"/>
        </w:rPr>
        <w:t>Movement</w:t>
      </w:r>
      <w:r>
        <w:rPr>
          <w:i/>
          <w:color w:val="365F91"/>
          <w:spacing w:val="-7"/>
          <w:sz w:val="22"/>
        </w:rPr>
        <w:t xml:space="preserve"> </w:t>
      </w:r>
      <w:r>
        <w:rPr>
          <w:i/>
          <w:color w:val="365F91"/>
          <w:sz w:val="22"/>
        </w:rPr>
        <w:t>(JEM):</w:t>
      </w:r>
      <w:r>
        <w:rPr>
          <w:i/>
          <w:color w:val="365F91"/>
          <w:spacing w:val="-5"/>
          <w:sz w:val="22"/>
        </w:rPr>
        <w:t xml:space="preserve"> </w:t>
      </w:r>
      <w:r>
        <w:rPr>
          <w:i/>
          <w:color w:val="365F91"/>
          <w:sz w:val="22"/>
        </w:rPr>
        <w:t>Political</w:t>
      </w:r>
      <w:r>
        <w:rPr>
          <w:i/>
          <w:color w:val="365F91"/>
          <w:spacing w:val="-3"/>
          <w:sz w:val="22"/>
        </w:rPr>
        <w:t xml:space="preserve"> </w:t>
      </w:r>
      <w:r>
        <w:rPr>
          <w:i/>
          <w:color w:val="365F91"/>
          <w:spacing w:val="-2"/>
          <w:sz w:val="22"/>
        </w:rPr>
        <w:t>Clientelism</w:t>
      </w:r>
    </w:p>
    <w:p w14:paraId="3E3B9C6C">
      <w:pPr>
        <w:pStyle w:val="6"/>
        <w:spacing w:before="27"/>
        <w:rPr>
          <w:i/>
          <w:sz w:val="22"/>
        </w:rPr>
      </w:pPr>
    </w:p>
    <w:p w14:paraId="1C965A93">
      <w:pPr>
        <w:pStyle w:val="6"/>
        <w:ind w:left="360" w:right="366"/>
      </w:pPr>
      <w:r>
        <w:t>Field testimonies highlight JEM’s access to substantial liquid capital, widely understood to flow from direct state disbursements via the federal Ministries of Finance and Minerals, processed under the legal cover</w:t>
      </w:r>
      <w:r>
        <w:rPr>
          <w:spacing w:val="-3"/>
        </w:rPr>
        <w:t xml:space="preserve"> </w:t>
      </w:r>
      <w:r>
        <w:t>of</w:t>
      </w:r>
      <w:r>
        <w:rPr>
          <w:spacing w:val="-5"/>
        </w:rPr>
        <w:t xml:space="preserve"> </w:t>
      </w:r>
      <w:r>
        <w:t>the</w:t>
      </w:r>
      <w:r>
        <w:rPr>
          <w:spacing w:val="-4"/>
        </w:rPr>
        <w:t xml:space="preserve"> </w:t>
      </w:r>
      <w:r>
        <w:t>Juba</w:t>
      </w:r>
      <w:r>
        <w:rPr>
          <w:spacing w:val="-4"/>
        </w:rPr>
        <w:t xml:space="preserve"> </w:t>
      </w:r>
      <w:r>
        <w:t>Peace</w:t>
      </w:r>
      <w:r>
        <w:rPr>
          <w:spacing w:val="-2"/>
        </w:rPr>
        <w:t xml:space="preserve"> </w:t>
      </w:r>
      <w:r>
        <w:t>Agreement</w:t>
      </w:r>
      <w:r>
        <w:rPr>
          <w:spacing w:val="-1"/>
        </w:rPr>
        <w:t xml:space="preserve"> </w:t>
      </w:r>
      <w:r>
        <w:t>(JPA)</w:t>
      </w:r>
      <w:r>
        <w:rPr>
          <w:spacing w:val="-4"/>
        </w:rPr>
        <w:t xml:space="preserve"> </w:t>
      </w:r>
      <w:r>
        <w:t>"security</w:t>
      </w:r>
      <w:r>
        <w:rPr>
          <w:spacing w:val="-3"/>
        </w:rPr>
        <w:t xml:space="preserve"> </w:t>
      </w:r>
      <w:r>
        <w:t>arrangements."</w:t>
      </w:r>
      <w:r>
        <w:rPr>
          <w:spacing w:val="-3"/>
        </w:rPr>
        <w:t xml:space="preserve"> </w:t>
      </w:r>
      <w:r>
        <w:t>JEM</w:t>
      </w:r>
      <w:r>
        <w:rPr>
          <w:spacing w:val="-4"/>
        </w:rPr>
        <w:t xml:space="preserve"> </w:t>
      </w:r>
      <w:r>
        <w:t>utilizes</w:t>
      </w:r>
      <w:r>
        <w:rPr>
          <w:spacing w:val="-4"/>
        </w:rPr>
        <w:t xml:space="preserve"> </w:t>
      </w:r>
      <w:r>
        <w:t>these</w:t>
      </w:r>
      <w:r>
        <w:rPr>
          <w:spacing w:val="-4"/>
        </w:rPr>
        <w:t xml:space="preserve"> </w:t>
      </w:r>
      <w:r>
        <w:t>reserves</w:t>
      </w:r>
      <w:r>
        <w:rPr>
          <w:spacing w:val="-4"/>
        </w:rPr>
        <w:t xml:space="preserve"> </w:t>
      </w:r>
      <w:r>
        <w:t>to</w:t>
      </w:r>
      <w:r>
        <w:rPr>
          <w:spacing w:val="-3"/>
        </w:rPr>
        <w:t xml:space="preserve"> </w:t>
      </w:r>
      <w:r>
        <w:t>build</w:t>
      </w:r>
      <w:r>
        <w:rPr>
          <w:spacing w:val="-3"/>
        </w:rPr>
        <w:t xml:space="preserve"> </w:t>
      </w:r>
      <w:r>
        <w:t>a socio-economic foothold through:</w:t>
      </w:r>
    </w:p>
    <w:p w14:paraId="738D82AA">
      <w:pPr>
        <w:pStyle w:val="6"/>
        <w:spacing w:before="6"/>
      </w:pPr>
    </w:p>
    <w:p w14:paraId="74FE4C73">
      <w:pPr>
        <w:pStyle w:val="10"/>
        <w:numPr>
          <w:ilvl w:val="1"/>
          <w:numId w:val="6"/>
        </w:numPr>
        <w:tabs>
          <w:tab w:val="left" w:pos="1080"/>
        </w:tabs>
        <w:spacing w:before="0" w:after="0" w:line="240" w:lineRule="auto"/>
        <w:ind w:left="1080" w:right="848" w:hanging="360"/>
        <w:jc w:val="left"/>
        <w:rPr>
          <w:sz w:val="24"/>
        </w:rPr>
      </w:pPr>
      <w:r>
        <w:rPr>
          <w:b/>
          <w:sz w:val="24"/>
        </w:rPr>
        <w:t>Real</w:t>
      </w:r>
      <w:r>
        <w:rPr>
          <w:b/>
          <w:spacing w:val="-4"/>
          <w:sz w:val="24"/>
        </w:rPr>
        <w:t xml:space="preserve"> </w:t>
      </w:r>
      <w:r>
        <w:rPr>
          <w:b/>
          <w:sz w:val="24"/>
        </w:rPr>
        <w:t>Estate</w:t>
      </w:r>
      <w:r>
        <w:rPr>
          <w:b/>
          <w:spacing w:val="-5"/>
          <w:sz w:val="24"/>
        </w:rPr>
        <w:t xml:space="preserve"> </w:t>
      </w:r>
      <w:r>
        <w:rPr>
          <w:b/>
          <w:sz w:val="24"/>
        </w:rPr>
        <w:t>Domination:</w:t>
      </w:r>
      <w:r>
        <w:rPr>
          <w:b/>
          <w:spacing w:val="-4"/>
          <w:sz w:val="24"/>
        </w:rPr>
        <w:t xml:space="preserve"> </w:t>
      </w:r>
      <w:r>
        <w:rPr>
          <w:sz w:val="24"/>
        </w:rPr>
        <w:t>Aggressive</w:t>
      </w:r>
      <w:r>
        <w:rPr>
          <w:spacing w:val="-3"/>
          <w:sz w:val="24"/>
        </w:rPr>
        <w:t xml:space="preserve"> </w:t>
      </w:r>
      <w:r>
        <w:rPr>
          <w:sz w:val="24"/>
        </w:rPr>
        <w:t>acquisition</w:t>
      </w:r>
      <w:r>
        <w:rPr>
          <w:spacing w:val="-4"/>
          <w:sz w:val="24"/>
        </w:rPr>
        <w:t xml:space="preserve"> </w:t>
      </w:r>
      <w:r>
        <w:rPr>
          <w:sz w:val="24"/>
        </w:rPr>
        <w:t>of</w:t>
      </w:r>
      <w:r>
        <w:rPr>
          <w:spacing w:val="-5"/>
          <w:sz w:val="24"/>
        </w:rPr>
        <w:t xml:space="preserve"> </w:t>
      </w:r>
      <w:r>
        <w:rPr>
          <w:sz w:val="24"/>
        </w:rPr>
        <w:t>strategic</w:t>
      </w:r>
      <w:r>
        <w:rPr>
          <w:spacing w:val="-5"/>
          <w:sz w:val="24"/>
        </w:rPr>
        <w:t xml:space="preserve"> </w:t>
      </w:r>
      <w:r>
        <w:rPr>
          <w:sz w:val="24"/>
        </w:rPr>
        <w:t>land</w:t>
      </w:r>
      <w:r>
        <w:rPr>
          <w:spacing w:val="-4"/>
          <w:sz w:val="24"/>
        </w:rPr>
        <w:t xml:space="preserve"> </w:t>
      </w:r>
      <w:r>
        <w:rPr>
          <w:sz w:val="24"/>
        </w:rPr>
        <w:t>in</w:t>
      </w:r>
      <w:r>
        <w:rPr>
          <w:spacing w:val="-4"/>
          <w:sz w:val="24"/>
        </w:rPr>
        <w:t xml:space="preserve"> </w:t>
      </w:r>
      <w:r>
        <w:rPr>
          <w:sz w:val="24"/>
        </w:rPr>
        <w:t>and</w:t>
      </w:r>
      <w:r>
        <w:rPr>
          <w:spacing w:val="-2"/>
          <w:sz w:val="24"/>
        </w:rPr>
        <w:t xml:space="preserve"> </w:t>
      </w:r>
      <w:r>
        <w:rPr>
          <w:sz w:val="24"/>
        </w:rPr>
        <w:t>around</w:t>
      </w:r>
      <w:r>
        <w:rPr>
          <w:spacing w:val="-4"/>
          <w:sz w:val="24"/>
        </w:rPr>
        <w:t xml:space="preserve"> </w:t>
      </w:r>
      <w:r>
        <w:rPr>
          <w:sz w:val="24"/>
        </w:rPr>
        <w:t>the</w:t>
      </w:r>
      <w:r>
        <w:rPr>
          <w:spacing w:val="-4"/>
          <w:sz w:val="24"/>
        </w:rPr>
        <w:t xml:space="preserve"> </w:t>
      </w:r>
      <w:r>
        <w:rPr>
          <w:sz w:val="24"/>
        </w:rPr>
        <w:t>capital, Madani, to establish a permanent demographic and physical presence.</w:t>
      </w:r>
    </w:p>
    <w:p w14:paraId="247CF3CC">
      <w:pPr>
        <w:pStyle w:val="10"/>
        <w:numPr>
          <w:ilvl w:val="1"/>
          <w:numId w:val="6"/>
        </w:numPr>
        <w:tabs>
          <w:tab w:val="left" w:pos="1080"/>
        </w:tabs>
        <w:spacing w:before="0" w:after="0" w:line="240" w:lineRule="auto"/>
        <w:ind w:left="1080" w:right="357" w:hanging="360"/>
        <w:jc w:val="left"/>
        <w:rPr>
          <w:sz w:val="24"/>
        </w:rPr>
      </w:pPr>
      <w:r>
        <w:rPr>
          <w:b/>
          <w:sz w:val="24"/>
        </w:rPr>
        <w:t>Illicit</w:t>
      </w:r>
      <w:r>
        <w:rPr>
          <w:b/>
          <w:spacing w:val="31"/>
          <w:sz w:val="24"/>
        </w:rPr>
        <w:t xml:space="preserve"> </w:t>
      </w:r>
      <w:r>
        <w:rPr>
          <w:b/>
          <w:sz w:val="24"/>
        </w:rPr>
        <w:t>Trade:</w:t>
      </w:r>
      <w:r>
        <w:rPr>
          <w:b/>
          <w:spacing w:val="28"/>
          <w:sz w:val="24"/>
        </w:rPr>
        <w:t xml:space="preserve"> </w:t>
      </w:r>
      <w:r>
        <w:rPr>
          <w:sz w:val="24"/>
        </w:rPr>
        <w:t>Leveraging</w:t>
      </w:r>
      <w:r>
        <w:rPr>
          <w:spacing w:val="27"/>
          <w:sz w:val="24"/>
        </w:rPr>
        <w:t xml:space="preserve"> </w:t>
      </w:r>
      <w:r>
        <w:rPr>
          <w:sz w:val="24"/>
        </w:rPr>
        <w:t>military</w:t>
      </w:r>
      <w:r>
        <w:rPr>
          <w:spacing w:val="27"/>
          <w:sz w:val="24"/>
        </w:rPr>
        <w:t xml:space="preserve"> </w:t>
      </w:r>
      <w:r>
        <w:rPr>
          <w:sz w:val="24"/>
        </w:rPr>
        <w:t>immunity</w:t>
      </w:r>
      <w:r>
        <w:rPr>
          <w:spacing w:val="27"/>
          <w:sz w:val="24"/>
        </w:rPr>
        <w:t xml:space="preserve"> </w:t>
      </w:r>
      <w:r>
        <w:rPr>
          <w:sz w:val="24"/>
        </w:rPr>
        <w:t>and</w:t>
      </w:r>
      <w:r>
        <w:rPr>
          <w:spacing w:val="25"/>
          <w:sz w:val="24"/>
        </w:rPr>
        <w:t xml:space="preserve"> </w:t>
      </w:r>
      <w:r>
        <w:rPr>
          <w:sz w:val="24"/>
        </w:rPr>
        <w:t>official</w:t>
      </w:r>
      <w:r>
        <w:rPr>
          <w:spacing w:val="28"/>
          <w:sz w:val="24"/>
        </w:rPr>
        <w:t xml:space="preserve"> </w:t>
      </w:r>
      <w:r>
        <w:rPr>
          <w:sz w:val="24"/>
        </w:rPr>
        <w:t>transit</w:t>
      </w:r>
      <w:r>
        <w:rPr>
          <w:spacing w:val="32"/>
          <w:sz w:val="24"/>
        </w:rPr>
        <w:t xml:space="preserve"> </w:t>
      </w:r>
      <w:r>
        <w:rPr>
          <w:sz w:val="24"/>
        </w:rPr>
        <w:t>passes</w:t>
      </w:r>
      <w:r>
        <w:rPr>
          <w:spacing w:val="27"/>
          <w:sz w:val="24"/>
        </w:rPr>
        <w:t xml:space="preserve"> </w:t>
      </w:r>
      <w:r>
        <w:rPr>
          <w:sz w:val="24"/>
        </w:rPr>
        <w:t>to</w:t>
      </w:r>
      <w:r>
        <w:rPr>
          <w:spacing w:val="28"/>
          <w:sz w:val="24"/>
        </w:rPr>
        <w:t xml:space="preserve"> </w:t>
      </w:r>
      <w:r>
        <w:rPr>
          <w:sz w:val="24"/>
        </w:rPr>
        <w:t>bypass</w:t>
      </w:r>
      <w:r>
        <w:rPr>
          <w:spacing w:val="28"/>
          <w:sz w:val="24"/>
        </w:rPr>
        <w:t xml:space="preserve"> </w:t>
      </w:r>
      <w:r>
        <w:rPr>
          <w:sz w:val="24"/>
        </w:rPr>
        <w:t>customs</w:t>
      </w:r>
      <w:r>
        <w:rPr>
          <w:spacing w:val="28"/>
          <w:sz w:val="24"/>
        </w:rPr>
        <w:t xml:space="preserve"> </w:t>
      </w:r>
      <w:r>
        <w:rPr>
          <w:sz w:val="24"/>
        </w:rPr>
        <w:t>and engage in cross-border smuggling.</w:t>
      </w:r>
    </w:p>
    <w:p w14:paraId="7D91C8EF">
      <w:pPr>
        <w:pStyle w:val="10"/>
        <w:numPr>
          <w:ilvl w:val="1"/>
          <w:numId w:val="6"/>
        </w:numPr>
        <w:tabs>
          <w:tab w:val="left" w:pos="1080"/>
        </w:tabs>
        <w:spacing w:before="0" w:after="0" w:line="240" w:lineRule="auto"/>
        <w:ind w:left="1080" w:right="357" w:hanging="360"/>
        <w:jc w:val="left"/>
        <w:rPr>
          <w:sz w:val="24"/>
        </w:rPr>
      </w:pPr>
      <w:r>
        <w:rPr>
          <w:b/>
          <w:sz w:val="24"/>
        </w:rPr>
        <w:t>Local</w:t>
      </w:r>
      <w:r>
        <w:rPr>
          <w:b/>
          <w:spacing w:val="40"/>
          <w:sz w:val="24"/>
        </w:rPr>
        <w:t xml:space="preserve"> </w:t>
      </w:r>
      <w:r>
        <w:rPr>
          <w:b/>
          <w:sz w:val="24"/>
        </w:rPr>
        <w:t>Levies:</w:t>
      </w:r>
      <w:r>
        <w:rPr>
          <w:b/>
          <w:spacing w:val="40"/>
          <w:sz w:val="24"/>
        </w:rPr>
        <w:t xml:space="preserve"> </w:t>
      </w:r>
      <w:r>
        <w:rPr>
          <w:sz w:val="24"/>
        </w:rPr>
        <w:t>Imposing</w:t>
      </w:r>
      <w:r>
        <w:rPr>
          <w:spacing w:val="40"/>
          <w:sz w:val="24"/>
        </w:rPr>
        <w:t xml:space="preserve"> </w:t>
      </w:r>
      <w:r>
        <w:rPr>
          <w:sz w:val="24"/>
        </w:rPr>
        <w:t>"security</w:t>
      </w:r>
      <w:r>
        <w:rPr>
          <w:spacing w:val="40"/>
          <w:sz w:val="24"/>
        </w:rPr>
        <w:t xml:space="preserve"> </w:t>
      </w:r>
      <w:r>
        <w:rPr>
          <w:sz w:val="24"/>
        </w:rPr>
        <w:t>contributions"</w:t>
      </w:r>
      <w:r>
        <w:rPr>
          <w:spacing w:val="40"/>
          <w:sz w:val="24"/>
        </w:rPr>
        <w:t xml:space="preserve"> </w:t>
      </w:r>
      <w:r>
        <w:rPr>
          <w:sz w:val="24"/>
        </w:rPr>
        <w:t>on</w:t>
      </w:r>
      <w:r>
        <w:rPr>
          <w:spacing w:val="40"/>
          <w:sz w:val="24"/>
        </w:rPr>
        <w:t xml:space="preserve"> </w:t>
      </w:r>
      <w:r>
        <w:rPr>
          <w:sz w:val="24"/>
        </w:rPr>
        <w:t>local</w:t>
      </w:r>
      <w:r>
        <w:rPr>
          <w:spacing w:val="40"/>
          <w:sz w:val="24"/>
        </w:rPr>
        <w:t xml:space="preserve"> </w:t>
      </w:r>
      <w:r>
        <w:rPr>
          <w:sz w:val="24"/>
        </w:rPr>
        <w:t>households</w:t>
      </w:r>
      <w:r>
        <w:rPr>
          <w:spacing w:val="40"/>
          <w:sz w:val="24"/>
        </w:rPr>
        <w:t xml:space="preserve"> </w:t>
      </w:r>
      <w:r>
        <w:rPr>
          <w:sz w:val="24"/>
        </w:rPr>
        <w:t>and</w:t>
      </w:r>
      <w:r>
        <w:rPr>
          <w:spacing w:val="40"/>
          <w:sz w:val="24"/>
        </w:rPr>
        <w:t xml:space="preserve"> </w:t>
      </w:r>
      <w:r>
        <w:rPr>
          <w:sz w:val="24"/>
        </w:rPr>
        <w:t>small</w:t>
      </w:r>
      <w:r>
        <w:rPr>
          <w:spacing w:val="40"/>
          <w:sz w:val="24"/>
        </w:rPr>
        <w:t xml:space="preserve"> </w:t>
      </w:r>
      <w:r>
        <w:rPr>
          <w:sz w:val="24"/>
        </w:rPr>
        <w:t>businesses, effectively taxing the cash inflows of family remittances.</w:t>
      </w:r>
    </w:p>
    <w:p w14:paraId="03636DB4">
      <w:pPr>
        <w:pStyle w:val="6"/>
        <w:spacing w:before="4"/>
      </w:pPr>
    </w:p>
    <w:p w14:paraId="61957D4E">
      <w:pPr>
        <w:pStyle w:val="10"/>
        <w:numPr>
          <w:ilvl w:val="0"/>
          <w:numId w:val="6"/>
        </w:numPr>
        <w:tabs>
          <w:tab w:val="left" w:pos="687"/>
        </w:tabs>
        <w:spacing w:before="0" w:after="0" w:line="240" w:lineRule="auto"/>
        <w:ind w:left="687" w:right="0" w:hanging="327"/>
        <w:jc w:val="left"/>
        <w:rPr>
          <w:i/>
          <w:sz w:val="22"/>
        </w:rPr>
      </w:pPr>
      <w:r>
        <w:rPr>
          <w:i/>
          <w:color w:val="365F91"/>
          <w:sz w:val="22"/>
        </w:rPr>
        <w:t>Islamist</w:t>
      </w:r>
      <w:r>
        <w:rPr>
          <w:i/>
          <w:color w:val="365F91"/>
          <w:spacing w:val="-7"/>
          <w:sz w:val="22"/>
        </w:rPr>
        <w:t xml:space="preserve"> </w:t>
      </w:r>
      <w:r>
        <w:rPr>
          <w:i/>
          <w:color w:val="365F91"/>
          <w:sz w:val="22"/>
        </w:rPr>
        <w:t>Factions</w:t>
      </w:r>
      <w:r>
        <w:rPr>
          <w:i/>
          <w:color w:val="365F91"/>
          <w:spacing w:val="-7"/>
          <w:sz w:val="22"/>
        </w:rPr>
        <w:t xml:space="preserve"> </w:t>
      </w:r>
      <w:r>
        <w:rPr>
          <w:i/>
          <w:color w:val="365F91"/>
          <w:sz w:val="22"/>
        </w:rPr>
        <w:t>(Popular</w:t>
      </w:r>
      <w:r>
        <w:rPr>
          <w:i/>
          <w:color w:val="365F91"/>
          <w:spacing w:val="-4"/>
          <w:sz w:val="22"/>
        </w:rPr>
        <w:t xml:space="preserve"> </w:t>
      </w:r>
      <w:r>
        <w:rPr>
          <w:i/>
          <w:color w:val="365F91"/>
          <w:spacing w:val="-2"/>
          <w:sz w:val="22"/>
        </w:rPr>
        <w:t>Resistance)</w:t>
      </w:r>
    </w:p>
    <w:p w14:paraId="6066839B">
      <w:pPr>
        <w:pStyle w:val="6"/>
        <w:spacing w:before="27"/>
        <w:rPr>
          <w:i/>
          <w:sz w:val="22"/>
        </w:rPr>
      </w:pPr>
    </w:p>
    <w:p w14:paraId="2D167A7C">
      <w:pPr>
        <w:pStyle w:val="6"/>
        <w:spacing w:before="1"/>
        <w:ind w:left="360"/>
      </w:pPr>
      <w:r>
        <w:t>The</w:t>
      </w:r>
      <w:r>
        <w:rPr>
          <w:spacing w:val="40"/>
        </w:rPr>
        <w:t xml:space="preserve"> </w:t>
      </w:r>
      <w:r>
        <w:t>"Popular</w:t>
      </w:r>
      <w:r>
        <w:rPr>
          <w:spacing w:val="40"/>
        </w:rPr>
        <w:t xml:space="preserve"> </w:t>
      </w:r>
      <w:r>
        <w:t>Resistance"</w:t>
      </w:r>
      <w:r>
        <w:rPr>
          <w:spacing w:val="40"/>
        </w:rPr>
        <w:t xml:space="preserve"> </w:t>
      </w:r>
      <w:r>
        <w:t>(</w:t>
      </w:r>
      <w:r>
        <w:rPr>
          <w:i/>
        </w:rPr>
        <w:t>Al-Mustanfereen</w:t>
      </w:r>
      <w:r>
        <w:t>)</w:t>
      </w:r>
      <w:r>
        <w:rPr>
          <w:spacing w:val="40"/>
        </w:rPr>
        <w:t xml:space="preserve"> </w:t>
      </w:r>
      <w:r>
        <w:t>and</w:t>
      </w:r>
      <w:r>
        <w:rPr>
          <w:spacing w:val="40"/>
        </w:rPr>
        <w:t xml:space="preserve"> </w:t>
      </w:r>
      <w:r>
        <w:t>allied</w:t>
      </w:r>
      <w:r>
        <w:rPr>
          <w:spacing w:val="40"/>
        </w:rPr>
        <w:t xml:space="preserve"> </w:t>
      </w:r>
      <w:r>
        <w:t>ideological</w:t>
      </w:r>
      <w:r>
        <w:rPr>
          <w:spacing w:val="40"/>
        </w:rPr>
        <w:t xml:space="preserve"> </w:t>
      </w:r>
      <w:r>
        <w:t>brigades</w:t>
      </w:r>
      <w:r>
        <w:rPr>
          <w:spacing w:val="40"/>
        </w:rPr>
        <w:t xml:space="preserve"> </w:t>
      </w:r>
      <w:r>
        <w:t>utilize</w:t>
      </w:r>
      <w:r>
        <w:rPr>
          <w:spacing w:val="40"/>
        </w:rPr>
        <w:t xml:space="preserve"> </w:t>
      </w:r>
      <w:r>
        <w:t>institutionalized mechanisms to extract capital under the cover of civil defense. Funding structures include:</w:t>
      </w:r>
    </w:p>
    <w:p w14:paraId="6560E598">
      <w:pPr>
        <w:pStyle w:val="6"/>
        <w:spacing w:before="2"/>
      </w:pPr>
    </w:p>
    <w:p w14:paraId="5FE3AFD4">
      <w:pPr>
        <w:pStyle w:val="10"/>
        <w:numPr>
          <w:ilvl w:val="1"/>
          <w:numId w:val="6"/>
        </w:numPr>
        <w:tabs>
          <w:tab w:val="left" w:pos="1080"/>
        </w:tabs>
        <w:spacing w:before="0" w:after="0" w:line="240" w:lineRule="auto"/>
        <w:ind w:left="1080" w:right="356" w:hanging="360"/>
        <w:jc w:val="both"/>
        <w:rPr>
          <w:sz w:val="24"/>
        </w:rPr>
      </w:pPr>
      <w:r>
        <w:rPr>
          <w:b/>
          <w:sz w:val="24"/>
        </w:rPr>
        <w:t xml:space="preserve">Mobilization Funds: </w:t>
      </w:r>
      <w:r>
        <w:rPr>
          <w:sz w:val="24"/>
        </w:rPr>
        <w:t>Systematic collection of "war effort" contributions from domestic businesses and aligned diaspora members.</w:t>
      </w:r>
    </w:p>
    <w:p w14:paraId="699D72D8">
      <w:pPr>
        <w:pStyle w:val="10"/>
        <w:numPr>
          <w:ilvl w:val="1"/>
          <w:numId w:val="6"/>
        </w:numPr>
        <w:tabs>
          <w:tab w:val="left" w:pos="1080"/>
        </w:tabs>
        <w:spacing w:before="1" w:after="0" w:line="240" w:lineRule="auto"/>
        <w:ind w:left="1080" w:right="360" w:hanging="360"/>
        <w:jc w:val="both"/>
        <w:rPr>
          <w:sz w:val="24"/>
        </w:rPr>
      </w:pPr>
      <w:r>
        <w:rPr>
          <w:b/>
          <w:sz w:val="24"/>
        </w:rPr>
        <w:t xml:space="preserve">State-Sanctioned Taxes: </w:t>
      </w:r>
      <w:r>
        <w:rPr>
          <w:sz w:val="24"/>
        </w:rPr>
        <w:t xml:space="preserve">Earmarking fixed percentages of municipal market revenues, commercial taxes, and service fees, often augmented by surcharges on fuel and essential </w:t>
      </w:r>
      <w:r>
        <w:rPr>
          <w:spacing w:val="-2"/>
          <w:sz w:val="24"/>
        </w:rPr>
        <w:t>commodities.</w:t>
      </w:r>
    </w:p>
    <w:p w14:paraId="2CC5A97E">
      <w:pPr>
        <w:pStyle w:val="6"/>
        <w:spacing w:before="4"/>
      </w:pPr>
    </w:p>
    <w:p w14:paraId="61176FFE">
      <w:pPr>
        <w:pStyle w:val="3"/>
        <w:numPr>
          <w:ilvl w:val="1"/>
          <w:numId w:val="3"/>
        </w:numPr>
        <w:tabs>
          <w:tab w:val="left" w:pos="660"/>
        </w:tabs>
        <w:spacing w:before="0" w:after="0" w:line="240" w:lineRule="auto"/>
        <w:ind w:left="660" w:right="0" w:hanging="300"/>
        <w:jc w:val="left"/>
        <w:rPr>
          <w:u w:val="single"/>
        </w:rPr>
      </w:pPr>
      <w:r>
        <w:rPr>
          <w:spacing w:val="-5"/>
          <w:u w:val="single"/>
        </w:rPr>
        <w:t xml:space="preserve"> </w:t>
      </w:r>
      <w:r>
        <w:rPr>
          <w:u w:val="single"/>
        </w:rPr>
        <w:t>​Evaluating</w:t>
      </w:r>
      <w:r>
        <w:rPr>
          <w:spacing w:val="-6"/>
          <w:u w:val="single"/>
        </w:rPr>
        <w:t xml:space="preserve"> </w:t>
      </w:r>
      <w:r>
        <w:rPr>
          <w:u w:val="single"/>
        </w:rPr>
        <w:t>Scenario</w:t>
      </w:r>
      <w:r>
        <w:rPr>
          <w:spacing w:val="-2"/>
          <w:u w:val="single"/>
        </w:rPr>
        <w:t xml:space="preserve"> </w:t>
      </w:r>
      <w:r>
        <w:rPr>
          <w:u w:val="single"/>
        </w:rPr>
        <w:t>3:</w:t>
      </w:r>
      <w:r>
        <w:rPr>
          <w:spacing w:val="-3"/>
          <w:u w:val="single"/>
        </w:rPr>
        <w:t xml:space="preserve"> </w:t>
      </w:r>
      <w:r>
        <w:rPr>
          <w:u w:val="single"/>
        </w:rPr>
        <w:t>Tribalized</w:t>
      </w:r>
      <w:r>
        <w:rPr>
          <w:spacing w:val="-2"/>
          <w:u w:val="single"/>
        </w:rPr>
        <w:t xml:space="preserve"> Polarization</w:t>
      </w:r>
    </w:p>
    <w:p w14:paraId="516DC352">
      <w:pPr>
        <w:pStyle w:val="6"/>
        <w:spacing w:before="5"/>
        <w:rPr>
          <w:b/>
        </w:rPr>
      </w:pPr>
    </w:p>
    <w:p w14:paraId="3685BC73">
      <w:pPr>
        <w:pStyle w:val="6"/>
        <w:ind w:left="360" w:right="356"/>
        <w:jc w:val="both"/>
      </w:pPr>
      <w:r>
        <w:t>This scenario represents a high-impact risk trajectory that threatens the demographic fabric of central Sudan. Escalating tribal and regional polarization is characterized by localized clustering, increased hostility, and systematic social aversion toward specific groups, primarily Darfuri communities and the Kanabi (seasonal labor camp residents).</w:t>
      </w:r>
    </w:p>
    <w:p w14:paraId="4C225A8E">
      <w:pPr>
        <w:pStyle w:val="6"/>
        <w:spacing w:before="3"/>
      </w:pPr>
    </w:p>
    <w:p w14:paraId="4DBDDB31">
      <w:pPr>
        <w:pStyle w:val="3"/>
        <w:jc w:val="both"/>
      </w:pPr>
      <w:r>
        <w:t>Micro-Political</w:t>
      </w:r>
      <w:r>
        <w:rPr>
          <w:spacing w:val="-4"/>
        </w:rPr>
        <w:t xml:space="preserve"> </w:t>
      </w:r>
      <w:r>
        <w:rPr>
          <w:spacing w:val="-2"/>
        </w:rPr>
        <w:t>Drivers</w:t>
      </w:r>
    </w:p>
    <w:p w14:paraId="0C6F175C">
      <w:pPr>
        <w:pStyle w:val="6"/>
        <w:spacing w:before="5"/>
        <w:rPr>
          <w:b/>
        </w:rPr>
      </w:pPr>
    </w:p>
    <w:p w14:paraId="60B3B8D8">
      <w:pPr>
        <w:pStyle w:val="6"/>
        <w:ind w:left="360" w:right="355"/>
        <w:jc w:val="both"/>
      </w:pPr>
      <w:r>
        <w:t>The politicized exploitation of historical grievances accelerates this trajectory. Certain groups, particularly the Kanabi, are frequently accused of collaborating with the Rapid Support Forces (RSF), which fuels waves of forced displacement. Despite the return of the Sudan Armed Forces (SAF) and allied militias, retaliatory abuses persist:</w:t>
      </w:r>
    </w:p>
    <w:p w14:paraId="511F336F">
      <w:pPr>
        <w:pStyle w:val="6"/>
        <w:spacing w:after="0"/>
        <w:jc w:val="both"/>
        <w:sectPr>
          <w:pgSz w:w="12240" w:h="15840"/>
          <w:pgMar w:top="1360" w:right="720" w:bottom="1240" w:left="720" w:header="72" w:footer="966" w:gutter="0"/>
          <w:cols w:space="720" w:num="1"/>
        </w:sectPr>
      </w:pPr>
    </w:p>
    <w:p w14:paraId="616E8E3A">
      <w:pPr>
        <w:pStyle w:val="10"/>
        <w:numPr>
          <w:ilvl w:val="0"/>
          <w:numId w:val="7"/>
        </w:numPr>
        <w:tabs>
          <w:tab w:val="left" w:pos="1080"/>
        </w:tabs>
        <w:spacing w:before="0" w:after="0" w:line="240" w:lineRule="auto"/>
        <w:ind w:left="1080" w:right="357" w:hanging="360"/>
        <w:jc w:val="both"/>
        <w:rPr>
          <w:sz w:val="24"/>
        </w:rPr>
      </w:pPr>
      <w:r>
        <w:rPr>
          <w:b/>
          <w:i/>
          <w:sz w:val="24"/>
        </w:rPr>
        <w:t>Targeted Retaliation</w:t>
      </w:r>
      <w:r>
        <w:rPr>
          <w:sz w:val="24"/>
        </w:rPr>
        <w:t xml:space="preserve">: Violent campaigns in "Kambo Taiba," "Dar Al-Salam Al-Hadiba," and "Kilo 16" (Umm Al-Qura), as well as widespread displacement across East Al-Jazirah and West </w:t>
      </w:r>
      <w:r>
        <w:rPr>
          <w:spacing w:val="-2"/>
          <w:sz w:val="24"/>
        </w:rPr>
        <w:t>Al-Hasahisa.</w:t>
      </w:r>
    </w:p>
    <w:p w14:paraId="0AAE32A7">
      <w:pPr>
        <w:pStyle w:val="10"/>
        <w:numPr>
          <w:ilvl w:val="0"/>
          <w:numId w:val="7"/>
        </w:numPr>
        <w:tabs>
          <w:tab w:val="left" w:pos="1080"/>
        </w:tabs>
        <w:spacing w:before="0" w:after="0" w:line="240" w:lineRule="auto"/>
        <w:ind w:left="1080" w:right="356" w:hanging="360"/>
        <w:jc w:val="both"/>
        <w:rPr>
          <w:sz w:val="24"/>
        </w:rPr>
      </w:pPr>
      <w:r>
        <w:rPr>
          <w:b/>
          <w:i/>
          <w:sz w:val="24"/>
        </w:rPr>
        <w:t>Umm Al-Qura Conflict</w:t>
      </w:r>
      <w:r>
        <w:rPr>
          <w:sz w:val="24"/>
        </w:rPr>
        <w:t>: Deep-seated tribal affiliations underpin the conflict, with Popular Resistance elements carrying out revenge campaigns against the Rizeigat, Salamat, Burgo, and Tama tribes, resulting in looting and arson.</w:t>
      </w:r>
    </w:p>
    <w:p w14:paraId="4B5143F0">
      <w:pPr>
        <w:pStyle w:val="10"/>
        <w:numPr>
          <w:ilvl w:val="0"/>
          <w:numId w:val="7"/>
        </w:numPr>
        <w:tabs>
          <w:tab w:val="left" w:pos="1080"/>
        </w:tabs>
        <w:spacing w:before="0" w:after="0" w:line="240" w:lineRule="auto"/>
        <w:ind w:left="1080" w:right="356" w:hanging="360"/>
        <w:jc w:val="both"/>
        <w:rPr>
          <w:sz w:val="24"/>
        </w:rPr>
      </w:pPr>
      <w:r>
        <w:rPr>
          <w:b/>
          <w:i/>
          <w:sz w:val="24"/>
        </w:rPr>
        <w:t>Land Expropriation</w:t>
      </w:r>
      <w:r>
        <w:rPr>
          <w:sz w:val="24"/>
        </w:rPr>
        <w:t>:</w:t>
      </w:r>
      <w:r>
        <w:rPr>
          <w:spacing w:val="-1"/>
          <w:sz w:val="24"/>
        </w:rPr>
        <w:t xml:space="preserve"> </w:t>
      </w:r>
      <w:r>
        <w:rPr>
          <w:sz w:val="24"/>
        </w:rPr>
        <w:t>A</w:t>
      </w:r>
      <w:r>
        <w:rPr>
          <w:spacing w:val="-4"/>
          <w:sz w:val="24"/>
        </w:rPr>
        <w:t xml:space="preserve"> </w:t>
      </w:r>
      <w:r>
        <w:rPr>
          <w:sz w:val="24"/>
        </w:rPr>
        <w:t>dangerous</w:t>
      </w:r>
      <w:r>
        <w:rPr>
          <w:spacing w:val="-2"/>
          <w:sz w:val="24"/>
        </w:rPr>
        <w:t xml:space="preserve"> </w:t>
      </w:r>
      <w:r>
        <w:rPr>
          <w:sz w:val="24"/>
        </w:rPr>
        <w:t>pattern</w:t>
      </w:r>
      <w:r>
        <w:rPr>
          <w:spacing w:val="-2"/>
          <w:sz w:val="24"/>
        </w:rPr>
        <w:t xml:space="preserve"> </w:t>
      </w:r>
      <w:r>
        <w:rPr>
          <w:sz w:val="24"/>
        </w:rPr>
        <w:t>of</w:t>
      </w:r>
      <w:r>
        <w:rPr>
          <w:spacing w:val="-2"/>
          <w:sz w:val="24"/>
        </w:rPr>
        <w:t xml:space="preserve"> </w:t>
      </w:r>
      <w:r>
        <w:rPr>
          <w:sz w:val="24"/>
        </w:rPr>
        <w:t>selling,</w:t>
      </w:r>
      <w:r>
        <w:rPr>
          <w:spacing w:val="-1"/>
          <w:sz w:val="24"/>
        </w:rPr>
        <w:t xml:space="preserve"> </w:t>
      </w:r>
      <w:r>
        <w:rPr>
          <w:sz w:val="24"/>
        </w:rPr>
        <w:t>titling,</w:t>
      </w:r>
      <w:r>
        <w:rPr>
          <w:spacing w:val="-1"/>
          <w:sz w:val="24"/>
        </w:rPr>
        <w:t xml:space="preserve"> </w:t>
      </w:r>
      <w:r>
        <w:rPr>
          <w:sz w:val="24"/>
        </w:rPr>
        <w:t>and</w:t>
      </w:r>
      <w:r>
        <w:rPr>
          <w:spacing w:val="-1"/>
          <w:sz w:val="24"/>
        </w:rPr>
        <w:t xml:space="preserve"> </w:t>
      </w:r>
      <w:r>
        <w:rPr>
          <w:sz w:val="24"/>
        </w:rPr>
        <w:t>converting</w:t>
      </w:r>
      <w:r>
        <w:rPr>
          <w:spacing w:val="-1"/>
          <w:sz w:val="24"/>
        </w:rPr>
        <w:t xml:space="preserve"> </w:t>
      </w:r>
      <w:r>
        <w:rPr>
          <w:sz w:val="24"/>
        </w:rPr>
        <w:t>agricultural</w:t>
      </w:r>
      <w:r>
        <w:rPr>
          <w:spacing w:val="-1"/>
          <w:sz w:val="24"/>
        </w:rPr>
        <w:t xml:space="preserve"> </w:t>
      </w:r>
      <w:r>
        <w:rPr>
          <w:sz w:val="24"/>
        </w:rPr>
        <w:t>land</w:t>
      </w:r>
      <w:r>
        <w:rPr>
          <w:spacing w:val="-2"/>
          <w:sz w:val="24"/>
        </w:rPr>
        <w:t xml:space="preserve"> </w:t>
      </w:r>
      <w:r>
        <w:rPr>
          <w:sz w:val="24"/>
        </w:rPr>
        <w:t>into residential plots, often facilitating the settlement of groups from western Sudan, is creating a precursor to future ethnic conflict.</w:t>
      </w:r>
    </w:p>
    <w:p w14:paraId="11C20D91">
      <w:pPr>
        <w:pStyle w:val="6"/>
        <w:spacing w:before="2"/>
      </w:pPr>
    </w:p>
    <w:p w14:paraId="37C1056B">
      <w:pPr>
        <w:pStyle w:val="3"/>
        <w:jc w:val="both"/>
      </w:pPr>
      <w:r>
        <w:t>Capital</w:t>
      </w:r>
      <w:r>
        <w:rPr>
          <w:spacing w:val="-1"/>
        </w:rPr>
        <w:t xml:space="preserve"> </w:t>
      </w:r>
      <w:r>
        <w:t>City</w:t>
      </w:r>
      <w:r>
        <w:rPr>
          <w:spacing w:val="-1"/>
        </w:rPr>
        <w:t xml:space="preserve"> </w:t>
      </w:r>
      <w:r>
        <w:t>Dynamics:</w:t>
      </w:r>
      <w:r>
        <w:rPr>
          <w:spacing w:val="-2"/>
        </w:rPr>
        <w:t xml:space="preserve"> </w:t>
      </w:r>
      <w:r>
        <w:t>Wad</w:t>
      </w:r>
      <w:r>
        <w:rPr>
          <w:spacing w:val="-1"/>
        </w:rPr>
        <w:t xml:space="preserve"> </w:t>
      </w:r>
      <w:r>
        <w:rPr>
          <w:spacing w:val="-2"/>
        </w:rPr>
        <w:t>Madani</w:t>
      </w:r>
    </w:p>
    <w:p w14:paraId="251C4BB9">
      <w:pPr>
        <w:pStyle w:val="6"/>
        <w:spacing w:before="2"/>
        <w:rPr>
          <w:b/>
        </w:rPr>
      </w:pPr>
    </w:p>
    <w:p w14:paraId="2F062E0C">
      <w:pPr>
        <w:pStyle w:val="6"/>
        <w:ind w:left="360" w:right="354"/>
        <w:jc w:val="both"/>
      </w:pPr>
      <w:r>
        <w:t>In Wad Madani, the high density of unregulated armed actors (including the SSF, JEM, and Albara' ibn Malik brigades) has created a volatile landscape prone to organized crime, looting, and infighting. This chaos</w:t>
      </w:r>
      <w:r>
        <w:rPr>
          <w:spacing w:val="-3"/>
        </w:rPr>
        <w:t xml:space="preserve"> </w:t>
      </w:r>
      <w:r>
        <w:t>is</w:t>
      </w:r>
      <w:r>
        <w:rPr>
          <w:spacing w:val="-3"/>
        </w:rPr>
        <w:t xml:space="preserve"> </w:t>
      </w:r>
      <w:r>
        <w:t>compounded</w:t>
      </w:r>
      <w:r>
        <w:rPr>
          <w:spacing w:val="-2"/>
        </w:rPr>
        <w:t xml:space="preserve"> </w:t>
      </w:r>
      <w:r>
        <w:t>by</w:t>
      </w:r>
      <w:r>
        <w:rPr>
          <w:spacing w:val="-1"/>
        </w:rPr>
        <w:t xml:space="preserve"> </w:t>
      </w:r>
      <w:r>
        <w:t>remnants</w:t>
      </w:r>
      <w:r>
        <w:rPr>
          <w:spacing w:val="-3"/>
        </w:rPr>
        <w:t xml:space="preserve"> </w:t>
      </w:r>
      <w:r>
        <w:t>of</w:t>
      </w:r>
      <w:r>
        <w:rPr>
          <w:spacing w:val="-1"/>
        </w:rPr>
        <w:t xml:space="preserve"> </w:t>
      </w:r>
      <w:r>
        <w:t>the</w:t>
      </w:r>
      <w:r>
        <w:rPr>
          <w:spacing w:val="-2"/>
        </w:rPr>
        <w:t xml:space="preserve"> </w:t>
      </w:r>
      <w:r>
        <w:t>former</w:t>
      </w:r>
      <w:r>
        <w:rPr>
          <w:spacing w:val="-1"/>
        </w:rPr>
        <w:t xml:space="preserve"> </w:t>
      </w:r>
      <w:r>
        <w:t>regime</w:t>
      </w:r>
      <w:r>
        <w:rPr>
          <w:spacing w:val="-3"/>
        </w:rPr>
        <w:t xml:space="preserve"> </w:t>
      </w:r>
      <w:r>
        <w:t>(National</w:t>
      </w:r>
      <w:r>
        <w:rPr>
          <w:spacing w:val="-2"/>
        </w:rPr>
        <w:t xml:space="preserve"> </w:t>
      </w:r>
      <w:r>
        <w:t>Congress</w:t>
      </w:r>
      <w:r>
        <w:rPr>
          <w:spacing w:val="-1"/>
        </w:rPr>
        <w:t xml:space="preserve"> </w:t>
      </w:r>
      <w:r>
        <w:t>Party)</w:t>
      </w:r>
      <w:r>
        <w:rPr>
          <w:spacing w:val="-3"/>
        </w:rPr>
        <w:t xml:space="preserve"> </w:t>
      </w:r>
      <w:r>
        <w:t>orchestrating</w:t>
      </w:r>
      <w:r>
        <w:rPr>
          <w:spacing w:val="-2"/>
        </w:rPr>
        <w:t xml:space="preserve"> </w:t>
      </w:r>
      <w:r>
        <w:t>targeted recruitment and political mobilization, aiming to seize control of the Gezira Scheme’s administrative</w:t>
      </w:r>
      <w:r>
        <w:rPr>
          <w:spacing w:val="40"/>
        </w:rPr>
        <w:t xml:space="preserve"> </w:t>
      </w:r>
      <w:r>
        <w:t>and union structures.</w:t>
      </w:r>
    </w:p>
    <w:p w14:paraId="7DEDF3C6">
      <w:pPr>
        <w:pStyle w:val="6"/>
        <w:spacing w:before="6"/>
      </w:pPr>
    </w:p>
    <w:p w14:paraId="14477A04">
      <w:pPr>
        <w:pStyle w:val="3"/>
        <w:numPr>
          <w:ilvl w:val="1"/>
          <w:numId w:val="3"/>
        </w:numPr>
        <w:tabs>
          <w:tab w:val="left" w:pos="660"/>
        </w:tabs>
        <w:spacing w:before="0" w:after="0" w:line="240" w:lineRule="auto"/>
        <w:ind w:left="660" w:right="0" w:hanging="300"/>
        <w:jc w:val="left"/>
        <w:rPr>
          <w:u w:val="single"/>
        </w:rPr>
      </w:pPr>
      <w:r>
        <w:rPr>
          <w:spacing w:val="-2"/>
          <w:u w:val="single"/>
        </w:rPr>
        <w:t xml:space="preserve"> </w:t>
      </w:r>
      <w:r>
        <w:rPr>
          <w:u w:val="single"/>
        </w:rPr>
        <w:t>​Synthesis</w:t>
      </w:r>
      <w:r>
        <w:rPr>
          <w:spacing w:val="-1"/>
          <w:u w:val="single"/>
        </w:rPr>
        <w:t xml:space="preserve"> </w:t>
      </w:r>
      <w:r>
        <w:rPr>
          <w:u w:val="single"/>
        </w:rPr>
        <w:t>of</w:t>
      </w:r>
      <w:r>
        <w:rPr>
          <w:spacing w:val="-1"/>
          <w:u w:val="single"/>
        </w:rPr>
        <w:t xml:space="preserve"> </w:t>
      </w:r>
      <w:r>
        <w:rPr>
          <w:spacing w:val="-2"/>
          <w:u w:val="single"/>
        </w:rPr>
        <w:t>Findings</w:t>
      </w:r>
    </w:p>
    <w:p w14:paraId="4A217B5D">
      <w:pPr>
        <w:pStyle w:val="6"/>
        <w:spacing w:before="4"/>
        <w:rPr>
          <w:b/>
        </w:rPr>
      </w:pPr>
    </w:p>
    <w:p w14:paraId="2B8874B5">
      <w:pPr>
        <w:pStyle w:val="6"/>
        <w:spacing w:before="1"/>
        <w:ind w:left="360" w:right="355"/>
        <w:jc w:val="both"/>
      </w:pPr>
      <w:r>
        <w:t xml:space="preserve">These scenarios are not mutually exclusive; they operate simultaneously as layers of a single conflict ecosystem. The </w:t>
      </w:r>
      <w:r>
        <w:rPr>
          <w:b/>
        </w:rPr>
        <w:t xml:space="preserve">Warlord Cartel </w:t>
      </w:r>
      <w:r>
        <w:t xml:space="preserve">privatizes and institutionalizes economic capture; the </w:t>
      </w:r>
      <w:r>
        <w:rPr>
          <w:b/>
        </w:rPr>
        <w:t xml:space="preserve">Fragmentation Trap </w:t>
      </w:r>
      <w:r>
        <w:t xml:space="preserve">destabilizes formal command structures; and </w:t>
      </w:r>
      <w:r>
        <w:rPr>
          <w:b/>
        </w:rPr>
        <w:t xml:space="preserve">Tribalized Polarization </w:t>
      </w:r>
      <w:r>
        <w:t>poisons the grassroots</w:t>
      </w:r>
      <w:r>
        <w:rPr>
          <w:spacing w:val="40"/>
        </w:rPr>
        <w:t xml:space="preserve"> </w:t>
      </w:r>
      <w:r>
        <w:t>social base. Together, these dynamics ensure that Sudan’s central heartland remains locked in a cycle of localized militarization, where armed actors insulate themselves from macro-political settlements.</w:t>
      </w:r>
    </w:p>
    <w:p w14:paraId="23D58F5C">
      <w:pPr>
        <w:pStyle w:val="6"/>
        <w:spacing w:before="2"/>
      </w:pPr>
    </w:p>
    <w:p w14:paraId="30AB5C29">
      <w:pPr>
        <w:pStyle w:val="3"/>
        <w:numPr>
          <w:ilvl w:val="0"/>
          <w:numId w:val="3"/>
        </w:numPr>
        <w:tabs>
          <w:tab w:val="left" w:pos="540"/>
        </w:tabs>
        <w:spacing w:before="1" w:after="0" w:line="240" w:lineRule="auto"/>
        <w:ind w:left="540" w:right="0" w:hanging="180"/>
        <w:jc w:val="left"/>
        <w:rPr>
          <w:u w:val="single"/>
        </w:rPr>
      </w:pPr>
      <w:r>
        <w:rPr>
          <w:spacing w:val="-2"/>
          <w:u w:val="single"/>
        </w:rPr>
        <w:t xml:space="preserve"> </w:t>
      </w:r>
      <w:r>
        <w:rPr>
          <w:u w:val="single"/>
        </w:rPr>
        <w:t>​Strategic</w:t>
      </w:r>
      <w:r>
        <w:rPr>
          <w:spacing w:val="-2"/>
          <w:u w:val="single"/>
        </w:rPr>
        <w:t xml:space="preserve"> </w:t>
      </w:r>
      <w:r>
        <w:rPr>
          <w:u w:val="single"/>
        </w:rPr>
        <w:t>Policy</w:t>
      </w:r>
      <w:r>
        <w:rPr>
          <w:spacing w:val="-2"/>
          <w:u w:val="single"/>
        </w:rPr>
        <w:t xml:space="preserve"> Recommendations</w:t>
      </w:r>
    </w:p>
    <w:p w14:paraId="26B837E3">
      <w:pPr>
        <w:pStyle w:val="6"/>
        <w:spacing w:before="4"/>
        <w:rPr>
          <w:b/>
        </w:rPr>
      </w:pPr>
    </w:p>
    <w:p w14:paraId="7F954610">
      <w:pPr>
        <w:pStyle w:val="6"/>
        <w:ind w:left="360"/>
      </w:pPr>
      <w:r>
        <w:t>Stabilizing</w:t>
      </w:r>
      <w:r>
        <w:rPr>
          <w:spacing w:val="-4"/>
        </w:rPr>
        <w:t xml:space="preserve"> </w:t>
      </w:r>
      <w:r>
        <w:t>Al-Gezira</w:t>
      </w:r>
      <w:r>
        <w:rPr>
          <w:spacing w:val="-6"/>
        </w:rPr>
        <w:t xml:space="preserve"> </w:t>
      </w:r>
      <w:r>
        <w:t>State</w:t>
      </w:r>
      <w:r>
        <w:rPr>
          <w:spacing w:val="-4"/>
        </w:rPr>
        <w:t xml:space="preserve"> </w:t>
      </w:r>
      <w:r>
        <w:t>requires</w:t>
      </w:r>
      <w:r>
        <w:rPr>
          <w:spacing w:val="-2"/>
        </w:rPr>
        <w:t xml:space="preserve"> </w:t>
      </w:r>
      <w:r>
        <w:t>a</w:t>
      </w:r>
      <w:r>
        <w:rPr>
          <w:spacing w:val="-5"/>
        </w:rPr>
        <w:t xml:space="preserve"> </w:t>
      </w:r>
      <w:r>
        <w:t>transition</w:t>
      </w:r>
      <w:r>
        <w:rPr>
          <w:spacing w:val="-4"/>
        </w:rPr>
        <w:t xml:space="preserve"> </w:t>
      </w:r>
      <w:r>
        <w:t>from</w:t>
      </w:r>
      <w:r>
        <w:rPr>
          <w:spacing w:val="-4"/>
        </w:rPr>
        <w:t xml:space="preserve"> </w:t>
      </w:r>
      <w:r>
        <w:t>macro-level</w:t>
      </w:r>
      <w:r>
        <w:rPr>
          <w:spacing w:val="-4"/>
        </w:rPr>
        <w:t xml:space="preserve"> </w:t>
      </w:r>
      <w:r>
        <w:t>diplomacy</w:t>
      </w:r>
      <w:r>
        <w:rPr>
          <w:spacing w:val="-4"/>
        </w:rPr>
        <w:t xml:space="preserve"> </w:t>
      </w:r>
      <w:r>
        <w:t>to</w:t>
      </w:r>
      <w:r>
        <w:rPr>
          <w:spacing w:val="-4"/>
        </w:rPr>
        <w:t xml:space="preserve"> </w:t>
      </w:r>
      <w:r>
        <w:t>localized,</w:t>
      </w:r>
      <w:r>
        <w:rPr>
          <w:spacing w:val="-4"/>
        </w:rPr>
        <w:t xml:space="preserve"> </w:t>
      </w:r>
      <w:r>
        <w:t>economically grounded interventions that dismantle the material incentives for war.</w:t>
      </w:r>
    </w:p>
    <w:p w14:paraId="5D7284ED">
      <w:pPr>
        <w:pStyle w:val="6"/>
        <w:spacing w:before="5"/>
      </w:pPr>
    </w:p>
    <w:p w14:paraId="0D16AF01">
      <w:pPr>
        <w:pStyle w:val="3"/>
      </w:pPr>
      <w:r>
        <w:t>Table</w:t>
      </w:r>
      <w:r>
        <w:rPr>
          <w:spacing w:val="-2"/>
        </w:rPr>
        <w:t xml:space="preserve"> </w:t>
      </w:r>
      <w:r>
        <w:t>2:</w:t>
      </w:r>
      <w:r>
        <w:rPr>
          <w:spacing w:val="-4"/>
        </w:rPr>
        <w:t xml:space="preserve"> </w:t>
      </w:r>
      <w:r>
        <w:t>Strategic</w:t>
      </w:r>
      <w:r>
        <w:rPr>
          <w:spacing w:val="-2"/>
        </w:rPr>
        <w:t xml:space="preserve"> </w:t>
      </w:r>
      <w:r>
        <w:t>Intervention</w:t>
      </w:r>
      <w:r>
        <w:rPr>
          <w:spacing w:val="-1"/>
        </w:rPr>
        <w:t xml:space="preserve"> </w:t>
      </w:r>
      <w:r>
        <w:rPr>
          <w:spacing w:val="-2"/>
        </w:rPr>
        <w:t>Framework</w:t>
      </w:r>
    </w:p>
    <w:p w14:paraId="04503756">
      <w:pPr>
        <w:pStyle w:val="6"/>
        <w:spacing w:before="49" w:after="1"/>
        <w:rPr>
          <w:b/>
          <w:sz w:val="20"/>
        </w:rPr>
      </w:pPr>
    </w:p>
    <w:tbl>
      <w:tblPr>
        <w:tblStyle w:val="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3171"/>
        <w:gridCol w:w="4717"/>
      </w:tblGrid>
      <w:tr w14:paraId="6DD10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2410" w:type="dxa"/>
          </w:tcPr>
          <w:p w14:paraId="597159A6">
            <w:pPr>
              <w:pStyle w:val="11"/>
              <w:spacing w:line="256" w:lineRule="exact"/>
              <w:ind w:left="220"/>
              <w:rPr>
                <w:b/>
                <w:i/>
                <w:sz w:val="24"/>
              </w:rPr>
            </w:pPr>
            <w:r>
              <w:rPr>
                <w:b/>
                <w:i/>
                <w:sz w:val="24"/>
              </w:rPr>
              <w:t>Scenario</w:t>
            </w:r>
            <w:r>
              <w:rPr>
                <w:b/>
                <w:i/>
                <w:spacing w:val="-2"/>
                <w:sz w:val="24"/>
              </w:rPr>
              <w:t xml:space="preserve"> Trajectory</w:t>
            </w:r>
          </w:p>
        </w:tc>
        <w:tc>
          <w:tcPr>
            <w:tcW w:w="3171" w:type="dxa"/>
          </w:tcPr>
          <w:p w14:paraId="4AA37F7A">
            <w:pPr>
              <w:pStyle w:val="11"/>
              <w:spacing w:line="256" w:lineRule="exact"/>
              <w:ind w:left="672"/>
              <w:rPr>
                <w:b/>
                <w:i/>
                <w:sz w:val="24"/>
              </w:rPr>
            </w:pPr>
            <w:r>
              <w:rPr>
                <w:b/>
                <w:i/>
                <w:sz w:val="24"/>
              </w:rPr>
              <w:t>Core</w:t>
            </w:r>
            <w:r>
              <w:rPr>
                <w:b/>
                <w:i/>
                <w:spacing w:val="-3"/>
                <w:sz w:val="24"/>
              </w:rPr>
              <w:t xml:space="preserve"> </w:t>
            </w:r>
            <w:r>
              <w:rPr>
                <w:b/>
                <w:i/>
                <w:sz w:val="24"/>
              </w:rPr>
              <w:t>Policy</w:t>
            </w:r>
            <w:r>
              <w:rPr>
                <w:b/>
                <w:i/>
                <w:spacing w:val="-2"/>
                <w:sz w:val="24"/>
              </w:rPr>
              <w:t xml:space="preserve"> Focus</w:t>
            </w:r>
          </w:p>
        </w:tc>
        <w:tc>
          <w:tcPr>
            <w:tcW w:w="4717" w:type="dxa"/>
          </w:tcPr>
          <w:p w14:paraId="1BF1729A">
            <w:pPr>
              <w:pStyle w:val="11"/>
              <w:spacing w:line="256" w:lineRule="exact"/>
              <w:ind w:left="1406"/>
              <w:rPr>
                <w:b/>
                <w:i/>
                <w:sz w:val="24"/>
              </w:rPr>
            </w:pPr>
            <w:r>
              <w:rPr>
                <w:b/>
                <w:i/>
                <w:sz w:val="24"/>
              </w:rPr>
              <w:t>Operational</w:t>
            </w:r>
            <w:r>
              <w:rPr>
                <w:b/>
                <w:i/>
                <w:spacing w:val="-2"/>
                <w:sz w:val="24"/>
              </w:rPr>
              <w:t xml:space="preserve"> Target</w:t>
            </w:r>
          </w:p>
        </w:tc>
      </w:tr>
      <w:tr w14:paraId="510C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410" w:type="dxa"/>
          </w:tcPr>
          <w:p w14:paraId="040DD719">
            <w:pPr>
              <w:pStyle w:val="11"/>
              <w:spacing w:before="1"/>
              <w:rPr>
                <w:b/>
                <w:i/>
                <w:sz w:val="24"/>
              </w:rPr>
            </w:pPr>
            <w:r>
              <w:rPr>
                <w:b/>
                <w:i/>
                <w:sz w:val="24"/>
              </w:rPr>
              <w:t>Fragmentation</w:t>
            </w:r>
            <w:r>
              <w:rPr>
                <w:b/>
                <w:i/>
                <w:spacing w:val="-3"/>
                <w:sz w:val="24"/>
              </w:rPr>
              <w:t xml:space="preserve"> </w:t>
            </w:r>
            <w:r>
              <w:rPr>
                <w:b/>
                <w:i/>
                <w:spacing w:val="-4"/>
                <w:sz w:val="24"/>
              </w:rPr>
              <w:t>Trap</w:t>
            </w:r>
          </w:p>
        </w:tc>
        <w:tc>
          <w:tcPr>
            <w:tcW w:w="3171" w:type="dxa"/>
            <w:shd w:val="clear" w:color="auto" w:fill="F1F1F1"/>
          </w:tcPr>
          <w:p w14:paraId="0D05DEEF">
            <w:pPr>
              <w:pStyle w:val="11"/>
              <w:spacing w:before="1"/>
              <w:rPr>
                <w:sz w:val="24"/>
              </w:rPr>
            </w:pPr>
            <w:r>
              <w:rPr>
                <w:sz w:val="24"/>
              </w:rPr>
              <w:t>Command</w:t>
            </w:r>
            <w:r>
              <w:rPr>
                <w:spacing w:val="-1"/>
                <w:sz w:val="24"/>
              </w:rPr>
              <w:t xml:space="preserve"> </w:t>
            </w:r>
            <w:r>
              <w:rPr>
                <w:spacing w:val="-2"/>
                <w:sz w:val="24"/>
              </w:rPr>
              <w:t>Accountability</w:t>
            </w:r>
          </w:p>
        </w:tc>
        <w:tc>
          <w:tcPr>
            <w:tcW w:w="4717" w:type="dxa"/>
            <w:shd w:val="clear" w:color="auto" w:fill="F1F1F1"/>
          </w:tcPr>
          <w:p w14:paraId="4EE3FE02">
            <w:pPr>
              <w:pStyle w:val="11"/>
              <w:tabs>
                <w:tab w:val="left" w:pos="1537"/>
                <w:tab w:val="left" w:pos="3032"/>
                <w:tab w:val="left" w:pos="3807"/>
              </w:tabs>
              <w:spacing w:line="270" w:lineRule="atLeast"/>
              <w:ind w:left="108" w:right="98"/>
              <w:rPr>
                <w:sz w:val="24"/>
              </w:rPr>
            </w:pPr>
            <w:r>
              <w:rPr>
                <w:spacing w:val="-2"/>
                <w:sz w:val="24"/>
              </w:rPr>
              <w:t>Command</w:t>
            </w:r>
            <w:r>
              <w:rPr>
                <w:sz w:val="24"/>
              </w:rPr>
              <w:tab/>
            </w:r>
            <w:r>
              <w:rPr>
                <w:spacing w:val="-2"/>
                <w:sz w:val="24"/>
              </w:rPr>
              <w:t>decoupling</w:t>
            </w:r>
            <w:r>
              <w:rPr>
                <w:sz w:val="24"/>
              </w:rPr>
              <w:tab/>
            </w:r>
            <w:r>
              <w:rPr>
                <w:spacing w:val="-4"/>
                <w:sz w:val="24"/>
              </w:rPr>
              <w:t>and</w:t>
            </w:r>
            <w:r>
              <w:rPr>
                <w:sz w:val="24"/>
              </w:rPr>
              <w:tab/>
            </w:r>
            <w:r>
              <w:rPr>
                <w:spacing w:val="-2"/>
                <w:sz w:val="24"/>
              </w:rPr>
              <w:t>amnesty conditionality</w:t>
            </w:r>
          </w:p>
        </w:tc>
      </w:tr>
      <w:tr w14:paraId="2895A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10" w:type="dxa"/>
          </w:tcPr>
          <w:p w14:paraId="03031FD6">
            <w:pPr>
              <w:pStyle w:val="11"/>
              <w:spacing w:line="256" w:lineRule="exact"/>
              <w:rPr>
                <w:b/>
                <w:i/>
                <w:sz w:val="24"/>
              </w:rPr>
            </w:pPr>
            <w:r>
              <w:rPr>
                <w:b/>
                <w:i/>
                <w:sz w:val="24"/>
              </w:rPr>
              <w:t xml:space="preserve">Warlord </w:t>
            </w:r>
            <w:r>
              <w:rPr>
                <w:b/>
                <w:i/>
                <w:spacing w:val="-2"/>
                <w:sz w:val="24"/>
              </w:rPr>
              <w:t>Cartel</w:t>
            </w:r>
          </w:p>
        </w:tc>
        <w:tc>
          <w:tcPr>
            <w:tcW w:w="3171" w:type="dxa"/>
          </w:tcPr>
          <w:p w14:paraId="4CA5AB06">
            <w:pPr>
              <w:pStyle w:val="11"/>
              <w:spacing w:line="256" w:lineRule="exact"/>
              <w:rPr>
                <w:sz w:val="24"/>
              </w:rPr>
            </w:pPr>
            <w:r>
              <w:rPr>
                <w:sz w:val="24"/>
              </w:rPr>
              <w:t>Economic</w:t>
            </w:r>
            <w:r>
              <w:rPr>
                <w:spacing w:val="-3"/>
                <w:sz w:val="24"/>
              </w:rPr>
              <w:t xml:space="preserve"> </w:t>
            </w:r>
            <w:r>
              <w:rPr>
                <w:spacing w:val="-2"/>
                <w:sz w:val="24"/>
              </w:rPr>
              <w:t>Demilitarization</w:t>
            </w:r>
          </w:p>
        </w:tc>
        <w:tc>
          <w:tcPr>
            <w:tcW w:w="4717" w:type="dxa"/>
          </w:tcPr>
          <w:p w14:paraId="300825B7">
            <w:pPr>
              <w:pStyle w:val="11"/>
              <w:spacing w:line="256" w:lineRule="exact"/>
              <w:ind w:left="108"/>
              <w:rPr>
                <w:sz w:val="24"/>
              </w:rPr>
            </w:pPr>
            <w:r>
              <w:rPr>
                <w:sz w:val="24"/>
              </w:rPr>
              <w:t>Asset</w:t>
            </w:r>
            <w:r>
              <w:rPr>
                <w:spacing w:val="-1"/>
                <w:sz w:val="24"/>
              </w:rPr>
              <w:t xml:space="preserve"> </w:t>
            </w:r>
            <w:r>
              <w:rPr>
                <w:sz w:val="24"/>
              </w:rPr>
              <w:t>shielding</w:t>
            </w:r>
            <w:r>
              <w:rPr>
                <w:spacing w:val="-1"/>
                <w:sz w:val="24"/>
              </w:rPr>
              <w:t xml:space="preserve"> </w:t>
            </w:r>
            <w:r>
              <w:rPr>
                <w:sz w:val="24"/>
              </w:rPr>
              <w:t>and</w:t>
            </w:r>
            <w:r>
              <w:rPr>
                <w:spacing w:val="-2"/>
                <w:sz w:val="24"/>
              </w:rPr>
              <w:t xml:space="preserve"> </w:t>
            </w:r>
            <w:r>
              <w:rPr>
                <w:sz w:val="24"/>
              </w:rPr>
              <w:t>central</w:t>
            </w:r>
            <w:r>
              <w:rPr>
                <w:spacing w:val="-1"/>
                <w:sz w:val="24"/>
              </w:rPr>
              <w:t xml:space="preserve"> </w:t>
            </w:r>
            <w:r>
              <w:rPr>
                <w:sz w:val="24"/>
              </w:rPr>
              <w:t>revenue</w:t>
            </w:r>
            <w:r>
              <w:rPr>
                <w:spacing w:val="-1"/>
                <w:sz w:val="24"/>
              </w:rPr>
              <w:t xml:space="preserve"> </w:t>
            </w:r>
            <w:r>
              <w:rPr>
                <w:spacing w:val="-2"/>
                <w:sz w:val="24"/>
              </w:rPr>
              <w:t>auditing</w:t>
            </w:r>
          </w:p>
        </w:tc>
      </w:tr>
      <w:tr w14:paraId="4E5AD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410" w:type="dxa"/>
          </w:tcPr>
          <w:p w14:paraId="3E9FC9E2">
            <w:pPr>
              <w:pStyle w:val="11"/>
              <w:spacing w:line="276" w:lineRule="exact"/>
              <w:ind w:right="143"/>
              <w:rPr>
                <w:b/>
                <w:i/>
                <w:sz w:val="24"/>
              </w:rPr>
            </w:pPr>
            <w:r>
              <w:rPr>
                <w:b/>
                <w:i/>
                <w:spacing w:val="-2"/>
                <w:sz w:val="24"/>
              </w:rPr>
              <w:t>Tribalized Polarization</w:t>
            </w:r>
          </w:p>
        </w:tc>
        <w:tc>
          <w:tcPr>
            <w:tcW w:w="3171" w:type="dxa"/>
            <w:shd w:val="clear" w:color="auto" w:fill="F1F1F1"/>
          </w:tcPr>
          <w:p w14:paraId="322655FA">
            <w:pPr>
              <w:pStyle w:val="11"/>
              <w:tabs>
                <w:tab w:val="left" w:pos="1269"/>
                <w:tab w:val="left" w:pos="2379"/>
              </w:tabs>
              <w:spacing w:line="276" w:lineRule="exact"/>
              <w:ind w:right="98"/>
              <w:rPr>
                <w:sz w:val="24"/>
              </w:rPr>
            </w:pPr>
            <w:r>
              <w:rPr>
                <w:spacing w:val="-2"/>
                <w:sz w:val="24"/>
              </w:rPr>
              <w:t>Local</w:t>
            </w:r>
            <w:r>
              <w:rPr>
                <w:sz w:val="24"/>
              </w:rPr>
              <w:tab/>
            </w:r>
            <w:r>
              <w:rPr>
                <w:spacing w:val="-4"/>
                <w:sz w:val="24"/>
              </w:rPr>
              <w:t>Land</w:t>
            </w:r>
            <w:r>
              <w:rPr>
                <w:sz w:val="24"/>
              </w:rPr>
              <w:tab/>
            </w:r>
            <w:r>
              <w:rPr>
                <w:spacing w:val="-2"/>
                <w:sz w:val="24"/>
              </w:rPr>
              <w:t>Tenure Stabilization</w:t>
            </w:r>
          </w:p>
        </w:tc>
        <w:tc>
          <w:tcPr>
            <w:tcW w:w="4717" w:type="dxa"/>
            <w:shd w:val="clear" w:color="auto" w:fill="F1F1F1"/>
          </w:tcPr>
          <w:p w14:paraId="783E07D9">
            <w:pPr>
              <w:pStyle w:val="11"/>
              <w:tabs>
                <w:tab w:val="left" w:pos="2030"/>
                <w:tab w:val="left" w:pos="3272"/>
                <w:tab w:val="left" w:pos="3903"/>
              </w:tabs>
              <w:spacing w:line="275" w:lineRule="exact"/>
              <w:ind w:left="108"/>
              <w:rPr>
                <w:i/>
                <w:sz w:val="24"/>
              </w:rPr>
            </w:pPr>
            <w:r>
              <w:rPr>
                <w:spacing w:val="-2"/>
                <w:sz w:val="24"/>
              </w:rPr>
              <w:t>Cross-communal</w:t>
            </w:r>
            <w:r>
              <w:rPr>
                <w:sz w:val="24"/>
              </w:rPr>
              <w:tab/>
            </w:r>
            <w:r>
              <w:rPr>
                <w:spacing w:val="-2"/>
                <w:sz w:val="24"/>
              </w:rPr>
              <w:t>mediation</w:t>
            </w:r>
            <w:r>
              <w:rPr>
                <w:sz w:val="24"/>
              </w:rPr>
              <w:tab/>
            </w:r>
            <w:r>
              <w:rPr>
                <w:spacing w:val="-5"/>
                <w:sz w:val="24"/>
              </w:rPr>
              <w:t>and</w:t>
            </w:r>
            <w:r>
              <w:rPr>
                <w:sz w:val="24"/>
              </w:rPr>
              <w:tab/>
            </w:r>
            <w:r>
              <w:rPr>
                <w:i/>
                <w:spacing w:val="-2"/>
                <w:sz w:val="24"/>
              </w:rPr>
              <w:t>Kanabi</w:t>
            </w:r>
          </w:p>
          <w:p w14:paraId="791E719C">
            <w:pPr>
              <w:pStyle w:val="11"/>
              <w:spacing w:line="257" w:lineRule="exact"/>
              <w:ind w:left="108"/>
              <w:rPr>
                <w:sz w:val="24"/>
              </w:rPr>
            </w:pPr>
            <w:r>
              <w:rPr>
                <w:spacing w:val="-2"/>
                <w:sz w:val="24"/>
              </w:rPr>
              <w:t>protection</w:t>
            </w:r>
          </w:p>
        </w:tc>
      </w:tr>
    </w:tbl>
    <w:p w14:paraId="467CD1A8">
      <w:pPr>
        <w:pStyle w:val="6"/>
        <w:spacing w:before="4"/>
        <w:rPr>
          <w:b/>
        </w:rPr>
      </w:pPr>
    </w:p>
    <w:p w14:paraId="3F717934">
      <w:pPr>
        <w:spacing w:before="1"/>
        <w:ind w:left="360" w:right="0" w:firstLine="0"/>
        <w:jc w:val="left"/>
        <w:rPr>
          <w:b/>
          <w:i/>
          <w:sz w:val="24"/>
        </w:rPr>
      </w:pPr>
      <w:r>
        <w:rPr>
          <w:b/>
          <w:i/>
          <w:sz w:val="24"/>
        </w:rPr>
        <w:t>Source:</w:t>
      </w:r>
      <w:r>
        <w:rPr>
          <w:b/>
          <w:i/>
          <w:spacing w:val="-1"/>
          <w:sz w:val="24"/>
        </w:rPr>
        <w:t xml:space="preserve"> </w:t>
      </w:r>
      <w:r>
        <w:rPr>
          <w:i/>
          <w:sz w:val="24"/>
        </w:rPr>
        <w:t>Adapted</w:t>
      </w:r>
      <w:r>
        <w:rPr>
          <w:i/>
          <w:spacing w:val="-1"/>
          <w:sz w:val="24"/>
        </w:rPr>
        <w:t xml:space="preserve"> </w:t>
      </w:r>
      <w:r>
        <w:rPr>
          <w:i/>
          <w:sz w:val="24"/>
        </w:rPr>
        <w:t>by</w:t>
      </w:r>
      <w:r>
        <w:rPr>
          <w:i/>
          <w:spacing w:val="-3"/>
          <w:sz w:val="24"/>
        </w:rPr>
        <w:t xml:space="preserve"> </w:t>
      </w:r>
      <w:r>
        <w:rPr>
          <w:i/>
          <w:sz w:val="24"/>
        </w:rPr>
        <w:t xml:space="preserve">the </w:t>
      </w:r>
      <w:r>
        <w:rPr>
          <w:i/>
          <w:spacing w:val="-2"/>
          <w:sz w:val="24"/>
        </w:rPr>
        <w:t>Researcher</w:t>
      </w:r>
      <w:r>
        <w:rPr>
          <w:b/>
          <w:i/>
          <w:spacing w:val="-2"/>
          <w:sz w:val="24"/>
        </w:rPr>
        <w:t>.</w:t>
      </w:r>
    </w:p>
    <w:p w14:paraId="65242620">
      <w:pPr>
        <w:pStyle w:val="6"/>
        <w:rPr>
          <w:b/>
          <w:i/>
        </w:rPr>
      </w:pPr>
    </w:p>
    <w:p w14:paraId="1083C7A3">
      <w:pPr>
        <w:pStyle w:val="6"/>
        <w:rPr>
          <w:b/>
          <w:i/>
        </w:rPr>
      </w:pPr>
    </w:p>
    <w:p w14:paraId="5D531296">
      <w:pPr>
        <w:pStyle w:val="6"/>
        <w:spacing w:before="7"/>
        <w:rPr>
          <w:b/>
          <w:i/>
        </w:rPr>
      </w:pPr>
    </w:p>
    <w:p w14:paraId="6821AE26">
      <w:pPr>
        <w:pStyle w:val="3"/>
        <w:numPr>
          <w:ilvl w:val="1"/>
          <w:numId w:val="3"/>
        </w:numPr>
        <w:tabs>
          <w:tab w:val="left" w:pos="720"/>
        </w:tabs>
        <w:spacing w:before="0" w:after="0" w:line="240" w:lineRule="auto"/>
        <w:ind w:left="720" w:right="0" w:hanging="360"/>
        <w:jc w:val="left"/>
      </w:pPr>
      <w:r>
        <w:t>Countering</w:t>
      </w:r>
      <w:r>
        <w:rPr>
          <w:spacing w:val="-3"/>
        </w:rPr>
        <w:t xml:space="preserve"> </w:t>
      </w:r>
      <w:r>
        <w:t>Scenario</w:t>
      </w:r>
      <w:r>
        <w:rPr>
          <w:spacing w:val="-3"/>
        </w:rPr>
        <w:t xml:space="preserve"> </w:t>
      </w:r>
      <w:r>
        <w:t>1</w:t>
      </w:r>
      <w:r>
        <w:rPr>
          <w:spacing w:val="-3"/>
        </w:rPr>
        <w:t xml:space="preserve"> </w:t>
      </w:r>
      <w:r>
        <w:t>(The</w:t>
      </w:r>
      <w:r>
        <w:rPr>
          <w:spacing w:val="-4"/>
        </w:rPr>
        <w:t xml:space="preserve"> </w:t>
      </w:r>
      <w:r>
        <w:t>Fragmentation</w:t>
      </w:r>
      <w:r>
        <w:rPr>
          <w:spacing w:val="-2"/>
        </w:rPr>
        <w:t xml:space="preserve"> </w:t>
      </w:r>
      <w:r>
        <w:rPr>
          <w:spacing w:val="-4"/>
        </w:rPr>
        <w:t>Trap)</w:t>
      </w:r>
    </w:p>
    <w:p w14:paraId="5940396E">
      <w:pPr>
        <w:pStyle w:val="3"/>
        <w:spacing w:after="0" w:line="240" w:lineRule="auto"/>
        <w:jc w:val="left"/>
        <w:sectPr>
          <w:pgSz w:w="12240" w:h="15840"/>
          <w:pgMar w:top="1340" w:right="720" w:bottom="1240" w:left="720" w:header="72" w:footer="966" w:gutter="0"/>
          <w:cols w:space="720" w:num="1"/>
        </w:sectPr>
      </w:pPr>
    </w:p>
    <w:p w14:paraId="64EE4B39">
      <w:pPr>
        <w:pStyle w:val="10"/>
        <w:numPr>
          <w:ilvl w:val="0"/>
          <w:numId w:val="8"/>
        </w:numPr>
        <w:tabs>
          <w:tab w:val="left" w:pos="1080"/>
        </w:tabs>
        <w:spacing w:before="0" w:after="0" w:line="240" w:lineRule="auto"/>
        <w:ind w:left="1080" w:right="357" w:hanging="360"/>
        <w:jc w:val="both"/>
        <w:rPr>
          <w:sz w:val="24"/>
        </w:rPr>
      </w:pPr>
      <w:r>
        <w:rPr>
          <w:b/>
          <w:sz w:val="24"/>
        </w:rPr>
        <w:t xml:space="preserve">Enforce Integration Conditionality: </w:t>
      </w:r>
      <w:r>
        <w:rPr>
          <w:sz w:val="24"/>
        </w:rPr>
        <w:t>Formal integration into state structures must be tied to verifiable command unification. Independent sub-commands engaging in looting must be excluded from political settlements.</w:t>
      </w:r>
    </w:p>
    <w:p w14:paraId="5DB3A33F">
      <w:pPr>
        <w:pStyle w:val="10"/>
        <w:numPr>
          <w:ilvl w:val="0"/>
          <w:numId w:val="8"/>
        </w:numPr>
        <w:tabs>
          <w:tab w:val="left" w:pos="1080"/>
        </w:tabs>
        <w:spacing w:before="0" w:after="0" w:line="240" w:lineRule="auto"/>
        <w:ind w:left="1080" w:right="358" w:hanging="360"/>
        <w:jc w:val="both"/>
        <w:rPr>
          <w:sz w:val="24"/>
        </w:rPr>
      </w:pPr>
      <w:r>
        <w:rPr>
          <w:b/>
          <w:sz w:val="24"/>
        </w:rPr>
        <w:t xml:space="preserve">Targeted Sanctions: </w:t>
      </w:r>
      <w:r>
        <w:rPr>
          <w:sz w:val="24"/>
        </w:rPr>
        <w:t>Expand sanctions to secondary operational commanders driving horizontal splits,</w:t>
      </w:r>
      <w:r>
        <w:rPr>
          <w:spacing w:val="-3"/>
          <w:sz w:val="24"/>
        </w:rPr>
        <w:t xml:space="preserve"> </w:t>
      </w:r>
      <w:r>
        <w:rPr>
          <w:sz w:val="24"/>
        </w:rPr>
        <w:t>utilizing</w:t>
      </w:r>
      <w:r>
        <w:rPr>
          <w:spacing w:val="-3"/>
          <w:sz w:val="24"/>
        </w:rPr>
        <w:t xml:space="preserve"> </w:t>
      </w:r>
      <w:r>
        <w:rPr>
          <w:sz w:val="24"/>
        </w:rPr>
        <w:t>travel</w:t>
      </w:r>
      <w:r>
        <w:rPr>
          <w:spacing w:val="-3"/>
          <w:sz w:val="24"/>
        </w:rPr>
        <w:t xml:space="preserve"> </w:t>
      </w:r>
      <w:r>
        <w:rPr>
          <w:sz w:val="24"/>
        </w:rPr>
        <w:t>bans</w:t>
      </w:r>
      <w:r>
        <w:rPr>
          <w:spacing w:val="-4"/>
          <w:sz w:val="24"/>
        </w:rPr>
        <w:t xml:space="preserve"> </w:t>
      </w:r>
      <w:r>
        <w:rPr>
          <w:sz w:val="24"/>
        </w:rPr>
        <w:t>and</w:t>
      </w:r>
      <w:r>
        <w:rPr>
          <w:spacing w:val="-3"/>
          <w:sz w:val="24"/>
        </w:rPr>
        <w:t xml:space="preserve"> </w:t>
      </w:r>
      <w:r>
        <w:rPr>
          <w:sz w:val="24"/>
        </w:rPr>
        <w:t>asset</w:t>
      </w:r>
      <w:r>
        <w:rPr>
          <w:spacing w:val="-3"/>
          <w:sz w:val="24"/>
        </w:rPr>
        <w:t xml:space="preserve"> </w:t>
      </w:r>
      <w:r>
        <w:rPr>
          <w:sz w:val="24"/>
        </w:rPr>
        <w:t>freezes</w:t>
      </w:r>
      <w:r>
        <w:rPr>
          <w:spacing w:val="-4"/>
          <w:sz w:val="24"/>
        </w:rPr>
        <w:t xml:space="preserve"> </w:t>
      </w:r>
      <w:r>
        <w:rPr>
          <w:sz w:val="24"/>
        </w:rPr>
        <w:t>against</w:t>
      </w:r>
      <w:r>
        <w:rPr>
          <w:spacing w:val="-2"/>
          <w:sz w:val="24"/>
        </w:rPr>
        <w:t xml:space="preserve"> </w:t>
      </w:r>
      <w:r>
        <w:rPr>
          <w:sz w:val="24"/>
        </w:rPr>
        <w:t>mid-level</w:t>
      </w:r>
      <w:r>
        <w:rPr>
          <w:spacing w:val="-3"/>
          <w:sz w:val="24"/>
        </w:rPr>
        <w:t xml:space="preserve"> </w:t>
      </w:r>
      <w:r>
        <w:rPr>
          <w:sz w:val="24"/>
        </w:rPr>
        <w:t>officers</w:t>
      </w:r>
      <w:r>
        <w:rPr>
          <w:spacing w:val="-4"/>
          <w:sz w:val="24"/>
        </w:rPr>
        <w:t xml:space="preserve"> </w:t>
      </w:r>
      <w:r>
        <w:rPr>
          <w:sz w:val="24"/>
        </w:rPr>
        <w:t>orchestrating</w:t>
      </w:r>
      <w:r>
        <w:rPr>
          <w:spacing w:val="-3"/>
          <w:sz w:val="24"/>
        </w:rPr>
        <w:t xml:space="preserve"> </w:t>
      </w:r>
      <w:r>
        <w:rPr>
          <w:sz w:val="24"/>
        </w:rPr>
        <w:t>local</w:t>
      </w:r>
      <w:r>
        <w:rPr>
          <w:spacing w:val="-2"/>
          <w:sz w:val="24"/>
        </w:rPr>
        <w:t xml:space="preserve"> </w:t>
      </w:r>
      <w:r>
        <w:rPr>
          <w:sz w:val="24"/>
        </w:rPr>
        <w:t>defects.</w:t>
      </w:r>
    </w:p>
    <w:p w14:paraId="11AE3052">
      <w:pPr>
        <w:pStyle w:val="10"/>
        <w:numPr>
          <w:ilvl w:val="0"/>
          <w:numId w:val="8"/>
        </w:numPr>
        <w:tabs>
          <w:tab w:val="left" w:pos="1080"/>
        </w:tabs>
        <w:spacing w:before="0" w:after="0" w:line="240" w:lineRule="auto"/>
        <w:ind w:left="1080" w:right="360" w:hanging="360"/>
        <w:jc w:val="both"/>
        <w:rPr>
          <w:sz w:val="24"/>
        </w:rPr>
      </w:pPr>
      <w:r>
        <w:rPr>
          <w:b/>
          <w:sz w:val="24"/>
        </w:rPr>
        <w:t xml:space="preserve">De-politicize the Monopoly on Violence: </w:t>
      </w:r>
      <w:r>
        <w:rPr>
          <w:sz w:val="24"/>
        </w:rPr>
        <w:t>Strictly exclude armed civilian auxiliary groups and remnants of the former regime from all post-war political arrangements.</w:t>
      </w:r>
    </w:p>
    <w:p w14:paraId="7F0F3E6F">
      <w:pPr>
        <w:pStyle w:val="3"/>
        <w:numPr>
          <w:ilvl w:val="1"/>
          <w:numId w:val="3"/>
        </w:numPr>
        <w:tabs>
          <w:tab w:val="left" w:pos="720"/>
        </w:tabs>
        <w:spacing w:before="268" w:after="0" w:line="240" w:lineRule="auto"/>
        <w:ind w:left="720" w:right="0" w:hanging="360"/>
        <w:jc w:val="left"/>
      </w:pPr>
      <w:r>
        <w:t>Countering</w:t>
      </w:r>
      <w:r>
        <w:rPr>
          <w:spacing w:val="-3"/>
        </w:rPr>
        <w:t xml:space="preserve"> </w:t>
      </w:r>
      <w:r>
        <w:t>Scenario</w:t>
      </w:r>
      <w:r>
        <w:rPr>
          <w:spacing w:val="-3"/>
        </w:rPr>
        <w:t xml:space="preserve"> </w:t>
      </w:r>
      <w:r>
        <w:t>2</w:t>
      </w:r>
      <w:r>
        <w:rPr>
          <w:spacing w:val="-2"/>
        </w:rPr>
        <w:t xml:space="preserve"> </w:t>
      </w:r>
      <w:r>
        <w:t>(The</w:t>
      </w:r>
      <w:r>
        <w:rPr>
          <w:spacing w:val="-4"/>
        </w:rPr>
        <w:t xml:space="preserve"> </w:t>
      </w:r>
      <w:r>
        <w:t>Warlord</w:t>
      </w:r>
      <w:r>
        <w:rPr>
          <w:spacing w:val="-3"/>
        </w:rPr>
        <w:t xml:space="preserve"> </w:t>
      </w:r>
      <w:r>
        <w:rPr>
          <w:spacing w:val="-2"/>
        </w:rPr>
        <w:t>Cartel)</w:t>
      </w:r>
    </w:p>
    <w:p w14:paraId="66340E2A">
      <w:pPr>
        <w:pStyle w:val="6"/>
        <w:spacing w:before="5"/>
        <w:rPr>
          <w:b/>
        </w:rPr>
      </w:pPr>
    </w:p>
    <w:p w14:paraId="7B363675">
      <w:pPr>
        <w:pStyle w:val="10"/>
        <w:numPr>
          <w:ilvl w:val="0"/>
          <w:numId w:val="9"/>
        </w:numPr>
        <w:tabs>
          <w:tab w:val="left" w:pos="1080"/>
        </w:tabs>
        <w:spacing w:before="0" w:after="0" w:line="240" w:lineRule="auto"/>
        <w:ind w:left="1080" w:right="360" w:hanging="360"/>
        <w:jc w:val="both"/>
        <w:rPr>
          <w:sz w:val="24"/>
        </w:rPr>
      </w:pPr>
      <w:r>
        <w:rPr>
          <w:b/>
          <w:sz w:val="24"/>
        </w:rPr>
        <w:t xml:space="preserve">Establish a Joint Auditing Board: </w:t>
      </w:r>
      <w:r>
        <w:rPr>
          <w:sz w:val="24"/>
        </w:rPr>
        <w:t>Create a civilian-international monitoring body to audit the Gezira Scheme's revenue streams and assets (ginning mills, storage silos). This board must track natural resource yields and JPA-signatory spending to prevent co-optation.</w:t>
      </w:r>
    </w:p>
    <w:p w14:paraId="3A2859F9">
      <w:pPr>
        <w:pStyle w:val="10"/>
        <w:numPr>
          <w:ilvl w:val="0"/>
          <w:numId w:val="9"/>
        </w:numPr>
        <w:tabs>
          <w:tab w:val="left" w:pos="1080"/>
        </w:tabs>
        <w:spacing w:before="1" w:after="0" w:line="240" w:lineRule="auto"/>
        <w:ind w:left="1080" w:right="357" w:hanging="360"/>
        <w:jc w:val="both"/>
        <w:rPr>
          <w:sz w:val="24"/>
        </w:rPr>
      </w:pPr>
      <w:r>
        <w:rPr>
          <w:b/>
          <w:sz w:val="24"/>
        </w:rPr>
        <w:t xml:space="preserve">Decentralize Supply Chains: </w:t>
      </w:r>
      <w:r>
        <w:rPr>
          <w:sz w:val="24"/>
        </w:rPr>
        <w:t>Pilot decentralized, digital crop-purchasing systems managed by neutral</w:t>
      </w:r>
      <w:r>
        <w:rPr>
          <w:spacing w:val="-1"/>
          <w:sz w:val="24"/>
        </w:rPr>
        <w:t xml:space="preserve"> </w:t>
      </w:r>
      <w:r>
        <w:rPr>
          <w:sz w:val="24"/>
        </w:rPr>
        <w:t>civilian</w:t>
      </w:r>
      <w:r>
        <w:rPr>
          <w:spacing w:val="-1"/>
          <w:sz w:val="24"/>
        </w:rPr>
        <w:t xml:space="preserve"> </w:t>
      </w:r>
      <w:r>
        <w:rPr>
          <w:sz w:val="24"/>
        </w:rPr>
        <w:t>councils.</w:t>
      </w:r>
      <w:r>
        <w:rPr>
          <w:spacing w:val="-1"/>
          <w:sz w:val="24"/>
        </w:rPr>
        <w:t xml:space="preserve"> </w:t>
      </w:r>
      <w:r>
        <w:rPr>
          <w:sz w:val="24"/>
        </w:rPr>
        <w:t>This</w:t>
      </w:r>
      <w:r>
        <w:rPr>
          <w:spacing w:val="-1"/>
          <w:sz w:val="24"/>
        </w:rPr>
        <w:t xml:space="preserve"> </w:t>
      </w:r>
      <w:r>
        <w:rPr>
          <w:sz w:val="24"/>
        </w:rPr>
        <w:t>bypasses</w:t>
      </w:r>
      <w:r>
        <w:rPr>
          <w:spacing w:val="-2"/>
          <w:sz w:val="24"/>
        </w:rPr>
        <w:t xml:space="preserve"> </w:t>
      </w:r>
      <w:r>
        <w:rPr>
          <w:sz w:val="24"/>
        </w:rPr>
        <w:t>the</w:t>
      </w:r>
      <w:r>
        <w:rPr>
          <w:spacing w:val="-2"/>
          <w:sz w:val="24"/>
        </w:rPr>
        <w:t xml:space="preserve"> </w:t>
      </w:r>
      <w:r>
        <w:rPr>
          <w:sz w:val="24"/>
        </w:rPr>
        <w:t>physical</w:t>
      </w:r>
      <w:r>
        <w:rPr>
          <w:spacing w:val="-1"/>
          <w:sz w:val="24"/>
        </w:rPr>
        <w:t xml:space="preserve"> </w:t>
      </w:r>
      <w:r>
        <w:rPr>
          <w:sz w:val="24"/>
        </w:rPr>
        <w:t>checkpoints</w:t>
      </w:r>
      <w:r>
        <w:rPr>
          <w:spacing w:val="-1"/>
          <w:sz w:val="24"/>
        </w:rPr>
        <w:t xml:space="preserve"> </w:t>
      </w:r>
      <w:r>
        <w:rPr>
          <w:sz w:val="24"/>
        </w:rPr>
        <w:t>currently</w:t>
      </w:r>
      <w:r>
        <w:rPr>
          <w:spacing w:val="-1"/>
          <w:sz w:val="24"/>
        </w:rPr>
        <w:t xml:space="preserve"> </w:t>
      </w:r>
      <w:r>
        <w:rPr>
          <w:sz w:val="24"/>
        </w:rPr>
        <w:t>taxed</w:t>
      </w:r>
      <w:r>
        <w:rPr>
          <w:spacing w:val="-1"/>
          <w:sz w:val="24"/>
        </w:rPr>
        <w:t xml:space="preserve"> </w:t>
      </w:r>
      <w:r>
        <w:rPr>
          <w:sz w:val="24"/>
        </w:rPr>
        <w:t>by</w:t>
      </w:r>
      <w:r>
        <w:rPr>
          <w:spacing w:val="-1"/>
          <w:sz w:val="24"/>
        </w:rPr>
        <w:t xml:space="preserve"> </w:t>
      </w:r>
      <w:r>
        <w:rPr>
          <w:sz w:val="24"/>
        </w:rPr>
        <w:t>hybrid</w:t>
      </w:r>
      <w:r>
        <w:rPr>
          <w:spacing w:val="-2"/>
          <w:sz w:val="24"/>
        </w:rPr>
        <w:t xml:space="preserve"> </w:t>
      </w:r>
      <w:r>
        <w:rPr>
          <w:sz w:val="24"/>
        </w:rPr>
        <w:t xml:space="preserve">armed </w:t>
      </w:r>
      <w:r>
        <w:rPr>
          <w:spacing w:val="-2"/>
          <w:sz w:val="24"/>
        </w:rPr>
        <w:t>actors.</w:t>
      </w:r>
    </w:p>
    <w:p w14:paraId="4D060557">
      <w:pPr>
        <w:pStyle w:val="6"/>
        <w:spacing w:before="5"/>
      </w:pPr>
    </w:p>
    <w:p w14:paraId="7C5F8531">
      <w:pPr>
        <w:pStyle w:val="3"/>
        <w:numPr>
          <w:ilvl w:val="1"/>
          <w:numId w:val="3"/>
        </w:numPr>
        <w:tabs>
          <w:tab w:val="left" w:pos="720"/>
        </w:tabs>
        <w:spacing w:before="0" w:after="0" w:line="240" w:lineRule="auto"/>
        <w:ind w:left="720" w:right="0" w:hanging="360"/>
        <w:jc w:val="left"/>
      </w:pPr>
      <w:r>
        <w:t>Countering</w:t>
      </w:r>
      <w:r>
        <w:rPr>
          <w:spacing w:val="-4"/>
        </w:rPr>
        <w:t xml:space="preserve"> </w:t>
      </w:r>
      <w:r>
        <w:t>Scenario</w:t>
      </w:r>
      <w:r>
        <w:rPr>
          <w:spacing w:val="-3"/>
        </w:rPr>
        <w:t xml:space="preserve"> </w:t>
      </w:r>
      <w:r>
        <w:t>3</w:t>
      </w:r>
      <w:r>
        <w:rPr>
          <w:spacing w:val="-4"/>
        </w:rPr>
        <w:t xml:space="preserve"> </w:t>
      </w:r>
      <w:r>
        <w:t>(Tribalized</w:t>
      </w:r>
      <w:r>
        <w:rPr>
          <w:spacing w:val="-3"/>
        </w:rPr>
        <w:t xml:space="preserve"> </w:t>
      </w:r>
      <w:r>
        <w:rPr>
          <w:spacing w:val="-2"/>
        </w:rPr>
        <w:t>Polarization)</w:t>
      </w:r>
    </w:p>
    <w:p w14:paraId="2A754D91">
      <w:pPr>
        <w:pStyle w:val="6"/>
        <w:spacing w:before="2"/>
        <w:rPr>
          <w:b/>
        </w:rPr>
      </w:pPr>
    </w:p>
    <w:p w14:paraId="391090BC">
      <w:pPr>
        <w:pStyle w:val="10"/>
        <w:numPr>
          <w:ilvl w:val="0"/>
          <w:numId w:val="10"/>
        </w:numPr>
        <w:tabs>
          <w:tab w:val="left" w:pos="1080"/>
        </w:tabs>
        <w:spacing w:before="0" w:after="0" w:line="240" w:lineRule="auto"/>
        <w:ind w:left="1080" w:right="359" w:hanging="360"/>
        <w:jc w:val="both"/>
        <w:rPr>
          <w:sz w:val="24"/>
        </w:rPr>
      </w:pPr>
      <w:r>
        <w:rPr>
          <w:b/>
          <w:sz w:val="24"/>
        </w:rPr>
        <w:t xml:space="preserve">Moratorium on Land Title Alterations: </w:t>
      </w:r>
      <w:r>
        <w:rPr>
          <w:sz w:val="24"/>
        </w:rPr>
        <w:t>Formalize a comprehensive freeze on all transfers, reallocations, or cancellations of agricultural tenancies for the conflict’s duration.</w:t>
      </w:r>
    </w:p>
    <w:p w14:paraId="59589E23">
      <w:pPr>
        <w:pStyle w:val="10"/>
        <w:numPr>
          <w:ilvl w:val="0"/>
          <w:numId w:val="10"/>
        </w:numPr>
        <w:tabs>
          <w:tab w:val="left" w:pos="1080"/>
        </w:tabs>
        <w:spacing w:before="0" w:after="0" w:line="240" w:lineRule="auto"/>
        <w:ind w:left="1080" w:right="358" w:hanging="360"/>
        <w:jc w:val="both"/>
        <w:rPr>
          <w:sz w:val="24"/>
        </w:rPr>
      </w:pPr>
      <w:r>
        <w:rPr>
          <w:b/>
          <w:sz w:val="24"/>
        </w:rPr>
        <w:t xml:space="preserve">Kanabi Protection Mandate: </w:t>
      </w:r>
      <w:r>
        <w:rPr>
          <w:sz w:val="24"/>
        </w:rPr>
        <w:t xml:space="preserve">Establish dedicated human rights observation mechanisms inside </w:t>
      </w:r>
      <w:r>
        <w:rPr>
          <w:i/>
          <w:sz w:val="24"/>
        </w:rPr>
        <w:t xml:space="preserve">Kanabi </w:t>
      </w:r>
      <w:r>
        <w:rPr>
          <w:sz w:val="24"/>
        </w:rPr>
        <w:t xml:space="preserve">settlements to report forced displacement and establish a baseline for international </w:t>
      </w:r>
      <w:r>
        <w:rPr>
          <w:spacing w:val="-2"/>
          <w:sz w:val="24"/>
        </w:rPr>
        <w:t>accountability.</w:t>
      </w:r>
    </w:p>
    <w:p w14:paraId="221037F5">
      <w:pPr>
        <w:pStyle w:val="10"/>
        <w:numPr>
          <w:ilvl w:val="0"/>
          <w:numId w:val="10"/>
        </w:numPr>
        <w:tabs>
          <w:tab w:val="left" w:pos="1080"/>
        </w:tabs>
        <w:spacing w:before="0" w:after="0" w:line="240" w:lineRule="auto"/>
        <w:ind w:left="1080" w:right="358" w:hanging="360"/>
        <w:jc w:val="both"/>
        <w:rPr>
          <w:sz w:val="24"/>
        </w:rPr>
      </w:pPr>
      <w:r>
        <w:rPr>
          <w:b/>
          <w:sz w:val="24"/>
        </w:rPr>
        <w:t xml:space="preserve">Revitalize Agrarian Arbitrations: </w:t>
      </w:r>
      <w:r>
        <w:rPr>
          <w:sz w:val="24"/>
        </w:rPr>
        <w:t xml:space="preserve">Support traditional </w:t>
      </w:r>
      <w:r>
        <w:rPr>
          <w:i/>
          <w:sz w:val="24"/>
        </w:rPr>
        <w:t xml:space="preserve">Ajaweed </w:t>
      </w:r>
      <w:r>
        <w:rPr>
          <w:sz w:val="24"/>
        </w:rPr>
        <w:t xml:space="preserve">committees for resolving boundary disputes, insulating these mechanisms from ideologically driven Popular Resistance </w:t>
      </w:r>
      <w:r>
        <w:rPr>
          <w:spacing w:val="-2"/>
          <w:sz w:val="24"/>
        </w:rPr>
        <w:t>committees.</w:t>
      </w:r>
    </w:p>
    <w:p w14:paraId="614CDC88">
      <w:pPr>
        <w:pStyle w:val="6"/>
        <w:spacing w:before="6"/>
      </w:pPr>
    </w:p>
    <w:p w14:paraId="0F02B001">
      <w:pPr>
        <w:pStyle w:val="3"/>
        <w:numPr>
          <w:ilvl w:val="0"/>
          <w:numId w:val="3"/>
        </w:numPr>
        <w:tabs>
          <w:tab w:val="left" w:pos="600"/>
        </w:tabs>
        <w:spacing w:before="0" w:after="0" w:line="240" w:lineRule="auto"/>
        <w:ind w:left="600" w:right="0" w:hanging="240"/>
        <w:jc w:val="left"/>
      </w:pPr>
      <w:r>
        <w:rPr>
          <w:spacing w:val="-2"/>
        </w:rPr>
        <w:t>Conclusion</w:t>
      </w:r>
    </w:p>
    <w:p w14:paraId="65DA8C58">
      <w:pPr>
        <w:pStyle w:val="6"/>
        <w:spacing w:before="2"/>
        <w:rPr>
          <w:b/>
        </w:rPr>
      </w:pPr>
    </w:p>
    <w:p w14:paraId="2445BAB0">
      <w:pPr>
        <w:pStyle w:val="6"/>
        <w:ind w:left="360" w:right="354"/>
        <w:jc w:val="both"/>
      </w:pPr>
      <w:r>
        <w:t>The transformation of Al-Gezira State from Sudan’s historic agricultural sanctuary into a volatile arena of militia proliferation highlights the rapidly changing dynamics of the broader national conflict. This study has moved beyond traditional macro-political frameworks to examine the ground-level vectors driving instability</w:t>
      </w:r>
      <w:r>
        <w:rPr>
          <w:spacing w:val="-1"/>
        </w:rPr>
        <w:t xml:space="preserve"> </w:t>
      </w:r>
      <w:r>
        <w:t>in</w:t>
      </w:r>
      <w:r>
        <w:rPr>
          <w:spacing w:val="-1"/>
        </w:rPr>
        <w:t xml:space="preserve"> </w:t>
      </w:r>
      <w:r>
        <w:t>Central Sudan. By isolating the structural mutations of military actors, mapping the emergence of a corrupt hybrid security landscape, and investigating highly localized, micro-political drivers, this paper provides an empirical diagnostic of a deeply fractured region.</w:t>
      </w:r>
    </w:p>
    <w:p w14:paraId="59F5FA95">
      <w:pPr>
        <w:pStyle w:val="6"/>
        <w:ind w:left="360" w:right="355" w:firstLine="720"/>
        <w:jc w:val="both"/>
      </w:pPr>
      <w:r>
        <w:t xml:space="preserve">The empirical findings demonstrate that the Gezira Scheme has mutated from an agrarian asset into a critical resource trap. Factional attempts to capture its residual physical infrastructure, control regional revenues, and secure economic and political supremacy have stimulated a profound militia re-makeup. Spurred and enabled by remnants of the dissolved National Congress Party (NCP), armed factions like the Sudan Shield Forces (SSF) and splinters of the Justice and Equality Movement (JEM) are actively weaponizing this terrain to achieve operational self-sufficiency. In doing so, they are successfully transforming themselves from top-down external proxies into autonomous, sovereign </w:t>
      </w:r>
      <w:r>
        <w:rPr>
          <w:spacing w:val="-2"/>
        </w:rPr>
        <w:t>competitors.</w:t>
      </w:r>
    </w:p>
    <w:p w14:paraId="6C09F591">
      <w:pPr>
        <w:pStyle w:val="6"/>
        <w:spacing w:before="1"/>
        <w:ind w:left="360" w:right="361" w:firstLine="720"/>
        <w:jc w:val="both"/>
      </w:pPr>
      <w:r>
        <w:t>Simultaneously, the erosion of formal governance has cemented a Hybrid Security Ecosystem where the boundaries between formal military commands and informal warlord cartels are entirely erased, turning systemic racketeering and trade extortion into everyday administrative functions.</w:t>
      </w:r>
    </w:p>
    <w:p w14:paraId="6AC8B0B5">
      <w:pPr>
        <w:pStyle w:val="6"/>
        <w:spacing w:after="0"/>
        <w:jc w:val="both"/>
        <w:sectPr>
          <w:pgSz w:w="12240" w:h="15840"/>
          <w:pgMar w:top="1360" w:right="720" w:bottom="1240" w:left="720" w:header="72" w:footer="966" w:gutter="0"/>
          <w:cols w:space="720" w:num="1"/>
        </w:sectPr>
      </w:pPr>
    </w:p>
    <w:p w14:paraId="17E971CD">
      <w:pPr>
        <w:pStyle w:val="6"/>
        <w:ind w:left="360" w:right="356"/>
        <w:jc w:val="both"/>
      </w:pPr>
      <w:r>
        <w:t>At the grassroots level, the historic peaceful coexistence between indigenous social components and migratory communities has been severely eroded. This social fabric, historically forged by a shared agrarian lifestyle and cooperative relations of production within the Gezira Scheme since its 1925 inception, has buckled under rising retaliatory sentiments triggered by the widespread violations committed during the Rapid Support Forces (RSF) occupation.</w:t>
      </w:r>
    </w:p>
    <w:p w14:paraId="042AD4BA">
      <w:pPr>
        <w:pStyle w:val="6"/>
        <w:ind w:left="360" w:right="359" w:firstLine="720"/>
        <w:jc w:val="both"/>
      </w:pPr>
      <w:r>
        <w:t>Within these intense micro-political dynamics, opportunistic armed groups have systematically exploited ethnic dimensions and historical grievances surrounding land ownership and territorial control to forcefully alter land tenure realities. Ultimately, these maneuverings have inflamed deep ethnic enmities and ensnared the state in a dangerous trap of communal polarization.</w:t>
      </w:r>
    </w:p>
    <w:p w14:paraId="7453EC39">
      <w:pPr>
        <w:pStyle w:val="6"/>
        <w:ind w:left="360" w:right="358"/>
        <w:jc w:val="both"/>
      </w:pPr>
      <w:r>
        <w:t xml:space="preserve">Ultimately, these combined dynamics demonstrate that Al-Gezira is trapped within multiple, simultaneous conflict trajectories. While the </w:t>
      </w:r>
      <w:r>
        <w:rPr>
          <w:i/>
        </w:rPr>
        <w:t xml:space="preserve">Warlord Cartel </w:t>
      </w:r>
      <w:r>
        <w:t>model institutionalizes economic capture</w:t>
      </w:r>
      <w:r>
        <w:rPr>
          <w:spacing w:val="-1"/>
        </w:rPr>
        <w:t xml:space="preserve"> </w:t>
      </w:r>
      <w:r>
        <w:t xml:space="preserve">at the municipal level, the </w:t>
      </w:r>
      <w:r>
        <w:rPr>
          <w:i/>
        </w:rPr>
        <w:t xml:space="preserve">Fragmentation Trap </w:t>
      </w:r>
      <w:r>
        <w:t xml:space="preserve">continually destabilizes immediate command structures, and </w:t>
      </w:r>
      <w:r>
        <w:rPr>
          <w:i/>
        </w:rPr>
        <w:t xml:space="preserve">Tribalized Polarization </w:t>
      </w:r>
      <w:r>
        <w:t>systematically poisons the state's social foundation.</w:t>
      </w:r>
    </w:p>
    <w:p w14:paraId="30ECD354">
      <w:pPr>
        <w:pStyle w:val="6"/>
        <w:ind w:left="360" w:right="356" w:firstLine="720"/>
        <w:jc w:val="both"/>
      </w:pPr>
      <w:r>
        <w:t>These findings indicate that conventional, top-down diplomatic handshakes between macro-belligerents will not suffice to stabilize Central Sudan. Future peacebuilding and stabilization strategies must instead prioritize localized, economically grounded structural interventions explicitly designed to dismantle</w:t>
      </w:r>
      <w:r>
        <w:rPr>
          <w:spacing w:val="-3"/>
        </w:rPr>
        <w:t xml:space="preserve"> </w:t>
      </w:r>
      <w:r>
        <w:t>the</w:t>
      </w:r>
      <w:r>
        <w:rPr>
          <w:spacing w:val="-3"/>
        </w:rPr>
        <w:t xml:space="preserve"> </w:t>
      </w:r>
      <w:r>
        <w:t>material</w:t>
      </w:r>
      <w:r>
        <w:rPr>
          <w:spacing w:val="-2"/>
        </w:rPr>
        <w:t xml:space="preserve"> </w:t>
      </w:r>
      <w:r>
        <w:t>incentives</w:t>
      </w:r>
      <w:r>
        <w:rPr>
          <w:spacing w:val="-2"/>
        </w:rPr>
        <w:t xml:space="preserve"> </w:t>
      </w:r>
      <w:r>
        <w:t>for</w:t>
      </w:r>
      <w:r>
        <w:rPr>
          <w:spacing w:val="-4"/>
        </w:rPr>
        <w:t xml:space="preserve"> </w:t>
      </w:r>
      <w:r>
        <w:t>war</w:t>
      </w:r>
      <w:r>
        <w:rPr>
          <w:spacing w:val="-3"/>
        </w:rPr>
        <w:t xml:space="preserve"> </w:t>
      </w:r>
      <w:r>
        <w:t>profiteering,</w:t>
      </w:r>
      <w:r>
        <w:rPr>
          <w:spacing w:val="-2"/>
        </w:rPr>
        <w:t xml:space="preserve"> </w:t>
      </w:r>
      <w:r>
        <w:t>protect</w:t>
      </w:r>
      <w:r>
        <w:rPr>
          <w:spacing w:val="-2"/>
        </w:rPr>
        <w:t xml:space="preserve"> </w:t>
      </w:r>
      <w:r>
        <w:t>vulnerable</w:t>
      </w:r>
      <w:r>
        <w:rPr>
          <w:spacing w:val="-3"/>
        </w:rPr>
        <w:t xml:space="preserve"> </w:t>
      </w:r>
      <w:r>
        <w:t>agricultural tenants</w:t>
      </w:r>
      <w:r>
        <w:rPr>
          <w:spacing w:val="-1"/>
        </w:rPr>
        <w:t xml:space="preserve"> </w:t>
      </w:r>
      <w:r>
        <w:t>and</w:t>
      </w:r>
      <w:r>
        <w:rPr>
          <w:spacing w:val="-2"/>
        </w:rPr>
        <w:t xml:space="preserve"> </w:t>
      </w:r>
      <w:r>
        <w:rPr>
          <w:i/>
        </w:rPr>
        <w:t xml:space="preserve">Kanabi </w:t>
      </w:r>
      <w:r>
        <w:t>communities, and insulate the vital infrastructure of the Gezira Scheme from factional exploitation.</w:t>
      </w:r>
    </w:p>
    <w:p w14:paraId="112BCC00">
      <w:pPr>
        <w:pStyle w:val="6"/>
      </w:pPr>
    </w:p>
    <w:p w14:paraId="51C0129F">
      <w:pPr>
        <w:pStyle w:val="6"/>
      </w:pPr>
    </w:p>
    <w:p w14:paraId="787BA06B">
      <w:pPr>
        <w:pStyle w:val="6"/>
      </w:pPr>
    </w:p>
    <w:p w14:paraId="5346FAF7">
      <w:pPr>
        <w:pStyle w:val="6"/>
      </w:pPr>
    </w:p>
    <w:p w14:paraId="396ADA99">
      <w:pPr>
        <w:pStyle w:val="6"/>
      </w:pPr>
    </w:p>
    <w:p w14:paraId="7306C33C">
      <w:pPr>
        <w:pStyle w:val="3"/>
        <w:numPr>
          <w:ilvl w:val="0"/>
          <w:numId w:val="3"/>
        </w:numPr>
        <w:tabs>
          <w:tab w:val="left" w:pos="540"/>
        </w:tabs>
        <w:spacing w:before="1" w:after="0" w:line="240" w:lineRule="auto"/>
        <w:ind w:left="540" w:right="0" w:hanging="180"/>
        <w:jc w:val="left"/>
        <w:rPr>
          <w:u w:val="single"/>
        </w:rPr>
      </w:pPr>
      <w:r>
        <w:rPr>
          <w:spacing w:val="-4"/>
          <w:u w:val="single"/>
        </w:rPr>
        <w:t xml:space="preserve"> </w:t>
      </w:r>
      <w:r>
        <w:rPr>
          <w:u w:val="single"/>
        </w:rPr>
        <w:t>​Comprehensive</w:t>
      </w:r>
      <w:r>
        <w:rPr>
          <w:spacing w:val="-1"/>
          <w:u w:val="single"/>
        </w:rPr>
        <w:t xml:space="preserve"> </w:t>
      </w:r>
      <w:r>
        <w:rPr>
          <w:spacing w:val="-2"/>
          <w:u w:val="single"/>
        </w:rPr>
        <w:t>References</w:t>
      </w:r>
    </w:p>
    <w:p w14:paraId="0D692DD4">
      <w:pPr>
        <w:pStyle w:val="6"/>
        <w:spacing w:before="4"/>
        <w:rPr>
          <w:b/>
        </w:rPr>
      </w:pPr>
    </w:p>
    <w:p w14:paraId="17A4A318">
      <w:pPr>
        <w:pStyle w:val="10"/>
        <w:numPr>
          <w:ilvl w:val="0"/>
          <w:numId w:val="11"/>
        </w:numPr>
        <w:tabs>
          <w:tab w:val="left" w:pos="1080"/>
        </w:tabs>
        <w:spacing w:before="0" w:after="0" w:line="240" w:lineRule="auto"/>
        <w:ind w:left="1080" w:right="358" w:hanging="360"/>
        <w:jc w:val="both"/>
        <w:rPr>
          <w:sz w:val="24"/>
        </w:rPr>
      </w:pPr>
      <w:r>
        <w:rPr>
          <w:b/>
          <w:sz w:val="24"/>
        </w:rPr>
        <w:t xml:space="preserve">Amnesty International. </w:t>
      </w:r>
      <w:r>
        <w:rPr>
          <w:sz w:val="24"/>
        </w:rPr>
        <w:t xml:space="preserve">(2025). </w:t>
      </w:r>
      <w:r>
        <w:rPr>
          <w:i/>
          <w:sz w:val="24"/>
        </w:rPr>
        <w:t>Human Rights in Sudan: Reprisal Attacks and Militia Proliferation in Central Sudan</w:t>
      </w:r>
      <w:r>
        <w:rPr>
          <w:sz w:val="24"/>
        </w:rPr>
        <w:t>. London: Amnesty International Publications.</w:t>
      </w:r>
    </w:p>
    <w:p w14:paraId="21324314">
      <w:pPr>
        <w:pStyle w:val="10"/>
        <w:numPr>
          <w:ilvl w:val="0"/>
          <w:numId w:val="11"/>
        </w:numPr>
        <w:tabs>
          <w:tab w:val="left" w:pos="1080"/>
        </w:tabs>
        <w:spacing w:before="1" w:after="0" w:line="240" w:lineRule="auto"/>
        <w:ind w:left="1080" w:right="357" w:hanging="360"/>
        <w:jc w:val="both"/>
        <w:rPr>
          <w:sz w:val="24"/>
        </w:rPr>
      </w:pPr>
      <w:r>
        <w:rPr>
          <w:b/>
          <w:sz w:val="24"/>
        </w:rPr>
        <w:t xml:space="preserve">Armed Conflict Location &amp; Event Data Project (ACLED). </w:t>
      </w:r>
      <w:r>
        <w:rPr>
          <w:sz w:val="24"/>
        </w:rPr>
        <w:t xml:space="preserve">(2025). </w:t>
      </w:r>
      <w:r>
        <w:rPr>
          <w:i/>
          <w:sz w:val="24"/>
        </w:rPr>
        <w:t>Sudan Conflict Monitor: The Financialization and Splintering of Central Sudan’s Militias</w:t>
      </w:r>
      <w:r>
        <w:rPr>
          <w:sz w:val="24"/>
        </w:rPr>
        <w:t xml:space="preserve">. Nairobi: ACLED Africa </w:t>
      </w:r>
      <w:r>
        <w:rPr>
          <w:spacing w:val="-2"/>
          <w:sz w:val="24"/>
        </w:rPr>
        <w:t>Report.</w:t>
      </w:r>
    </w:p>
    <w:p w14:paraId="7F4F88D3">
      <w:pPr>
        <w:pStyle w:val="10"/>
        <w:numPr>
          <w:ilvl w:val="0"/>
          <w:numId w:val="11"/>
        </w:numPr>
        <w:tabs>
          <w:tab w:val="left" w:pos="1080"/>
        </w:tabs>
        <w:spacing w:before="0" w:after="0" w:line="240" w:lineRule="auto"/>
        <w:ind w:left="1080" w:right="360" w:hanging="360"/>
        <w:jc w:val="both"/>
        <w:rPr>
          <w:sz w:val="24"/>
        </w:rPr>
      </w:pPr>
      <w:r>
        <w:rPr>
          <w:b/>
          <w:sz w:val="24"/>
        </w:rPr>
        <w:t xml:space="preserve">Africa Center for Strategic Studies (ACSS). </w:t>
      </w:r>
      <w:r>
        <w:rPr>
          <w:sz w:val="24"/>
        </w:rPr>
        <w:t>(2025).</w:t>
      </w:r>
      <w:r>
        <w:rPr>
          <w:spacing w:val="-1"/>
          <w:sz w:val="24"/>
        </w:rPr>
        <w:t xml:space="preserve"> </w:t>
      </w:r>
      <w:r>
        <w:rPr>
          <w:i/>
          <w:sz w:val="24"/>
        </w:rPr>
        <w:t>The</w:t>
      </w:r>
      <w:r>
        <w:rPr>
          <w:i/>
          <w:spacing w:val="-2"/>
          <w:sz w:val="24"/>
        </w:rPr>
        <w:t xml:space="preserve"> </w:t>
      </w:r>
      <w:r>
        <w:rPr>
          <w:i/>
          <w:sz w:val="24"/>
        </w:rPr>
        <w:t>Anatomy of</w:t>
      </w:r>
      <w:r>
        <w:rPr>
          <w:i/>
          <w:spacing w:val="-1"/>
          <w:sz w:val="24"/>
        </w:rPr>
        <w:t xml:space="preserve"> </w:t>
      </w:r>
      <w:r>
        <w:rPr>
          <w:i/>
          <w:sz w:val="24"/>
        </w:rPr>
        <w:t>Sudan’s</w:t>
      </w:r>
      <w:r>
        <w:rPr>
          <w:i/>
          <w:spacing w:val="-2"/>
          <w:sz w:val="24"/>
        </w:rPr>
        <w:t xml:space="preserve"> </w:t>
      </w:r>
      <w:r>
        <w:rPr>
          <w:i/>
          <w:sz w:val="24"/>
        </w:rPr>
        <w:t>Parallel</w:t>
      </w:r>
      <w:r>
        <w:rPr>
          <w:i/>
          <w:spacing w:val="-1"/>
          <w:sz w:val="24"/>
        </w:rPr>
        <w:t xml:space="preserve"> </w:t>
      </w:r>
      <w:r>
        <w:rPr>
          <w:i/>
          <w:sz w:val="24"/>
        </w:rPr>
        <w:t>Forces: SSF, SAF, and the Illusion of Joint Commands</w:t>
      </w:r>
      <w:r>
        <w:rPr>
          <w:sz w:val="24"/>
        </w:rPr>
        <w:t>. Washington, D.C.: National Defense University.</w:t>
      </w:r>
    </w:p>
    <w:p w14:paraId="7BF48514">
      <w:pPr>
        <w:pStyle w:val="10"/>
        <w:numPr>
          <w:ilvl w:val="0"/>
          <w:numId w:val="11"/>
        </w:numPr>
        <w:tabs>
          <w:tab w:val="left" w:pos="1080"/>
        </w:tabs>
        <w:spacing w:before="0" w:after="0" w:line="240" w:lineRule="auto"/>
        <w:ind w:left="1080" w:right="360" w:hanging="360"/>
        <w:jc w:val="both"/>
        <w:rPr>
          <w:sz w:val="24"/>
        </w:rPr>
      </w:pPr>
      <w:r>
        <w:rPr>
          <w:b/>
          <w:sz w:val="24"/>
        </w:rPr>
        <w:t xml:space="preserve">CNN &amp; Lighthouse Reports. </w:t>
      </w:r>
      <w:r>
        <w:rPr>
          <w:sz w:val="24"/>
        </w:rPr>
        <w:t xml:space="preserve">(2025). </w:t>
      </w:r>
      <w:r>
        <w:rPr>
          <w:i/>
          <w:sz w:val="24"/>
        </w:rPr>
        <w:t>Bodies in the Canals: Satellite Imagery, Whistleblowers, and Forensic Analysis of Ethnic Massacres in Al-Gezira State</w:t>
      </w:r>
      <w:r>
        <w:rPr>
          <w:sz w:val="24"/>
        </w:rPr>
        <w:t>. Joint Investigative Report.</w:t>
      </w:r>
    </w:p>
    <w:p w14:paraId="7296B6AE">
      <w:pPr>
        <w:pStyle w:val="10"/>
        <w:numPr>
          <w:ilvl w:val="0"/>
          <w:numId w:val="11"/>
        </w:numPr>
        <w:tabs>
          <w:tab w:val="left" w:pos="1080"/>
        </w:tabs>
        <w:spacing w:before="0" w:after="0" w:line="240" w:lineRule="auto"/>
        <w:ind w:left="1080" w:right="357" w:hanging="360"/>
        <w:jc w:val="both"/>
        <w:rPr>
          <w:sz w:val="24"/>
        </w:rPr>
      </w:pPr>
      <w:r>
        <w:rPr>
          <w:b/>
          <w:sz w:val="24"/>
        </w:rPr>
        <w:t xml:space="preserve">Council on Foreign Relations (CFR). </w:t>
      </w:r>
      <w:r>
        <w:rPr>
          <w:sz w:val="24"/>
        </w:rPr>
        <w:t xml:space="preserve">(2026). </w:t>
      </w:r>
      <w:r>
        <w:rPr>
          <w:i/>
          <w:sz w:val="24"/>
        </w:rPr>
        <w:t>Sudan’s Humanitarian Crisis, Infrastructure Collapse, and the Gezira Scheme Asset Capture</w:t>
      </w:r>
      <w:r>
        <w:rPr>
          <w:sz w:val="24"/>
        </w:rPr>
        <w:t>. New York: CFR Global Conflict Tracker.</w:t>
      </w:r>
    </w:p>
    <w:p w14:paraId="6E8B5078">
      <w:pPr>
        <w:pStyle w:val="10"/>
        <w:numPr>
          <w:ilvl w:val="0"/>
          <w:numId w:val="11"/>
        </w:numPr>
        <w:tabs>
          <w:tab w:val="left" w:pos="1079"/>
        </w:tabs>
        <w:spacing w:before="0" w:after="0" w:line="240" w:lineRule="auto"/>
        <w:ind w:left="1079" w:right="0" w:hanging="359"/>
        <w:jc w:val="both"/>
        <w:rPr>
          <w:sz w:val="24"/>
        </w:rPr>
      </w:pPr>
      <w:r>
        <w:rPr>
          <w:b/>
          <w:sz w:val="24"/>
        </w:rPr>
        <w:t>European</w:t>
      </w:r>
      <w:r>
        <w:rPr>
          <w:b/>
          <w:spacing w:val="-4"/>
          <w:sz w:val="24"/>
        </w:rPr>
        <w:t xml:space="preserve"> </w:t>
      </w:r>
      <w:r>
        <w:rPr>
          <w:b/>
          <w:sz w:val="24"/>
        </w:rPr>
        <w:t>Union</w:t>
      </w:r>
      <w:r>
        <w:rPr>
          <w:b/>
          <w:spacing w:val="-2"/>
          <w:sz w:val="24"/>
        </w:rPr>
        <w:t xml:space="preserve"> </w:t>
      </w:r>
      <w:r>
        <w:rPr>
          <w:b/>
          <w:sz w:val="24"/>
        </w:rPr>
        <w:t>(EU</w:t>
      </w:r>
      <w:r>
        <w:rPr>
          <w:sz w:val="24"/>
        </w:rPr>
        <w:t>).</w:t>
      </w:r>
      <w:r>
        <w:rPr>
          <w:spacing w:val="-3"/>
          <w:sz w:val="24"/>
        </w:rPr>
        <w:t xml:space="preserve"> </w:t>
      </w:r>
      <w:r>
        <w:rPr>
          <w:sz w:val="24"/>
        </w:rPr>
        <w:t>(2026).</w:t>
      </w:r>
      <w:r>
        <w:rPr>
          <w:spacing w:val="-2"/>
          <w:sz w:val="24"/>
        </w:rPr>
        <w:t xml:space="preserve"> </w:t>
      </w:r>
      <w:r>
        <w:rPr>
          <w:sz w:val="24"/>
        </w:rPr>
        <w:t>Council</w:t>
      </w:r>
      <w:r>
        <w:rPr>
          <w:spacing w:val="-2"/>
          <w:sz w:val="24"/>
        </w:rPr>
        <w:t xml:space="preserve"> </w:t>
      </w:r>
      <w:r>
        <w:rPr>
          <w:sz w:val="24"/>
        </w:rPr>
        <w:t>Regulation</w:t>
      </w:r>
      <w:r>
        <w:rPr>
          <w:spacing w:val="-2"/>
          <w:sz w:val="24"/>
        </w:rPr>
        <w:t xml:space="preserve"> </w:t>
      </w:r>
      <w:r>
        <w:rPr>
          <w:sz w:val="24"/>
        </w:rPr>
        <w:t xml:space="preserve">2026/1724. </w:t>
      </w:r>
      <w:r>
        <w:fldChar w:fldCharType="begin"/>
      </w:r>
      <w:r>
        <w:instrText xml:space="preserve"> HYPERLINK "http://data.europa.eu/eli/reg" \h </w:instrText>
      </w:r>
      <w:r>
        <w:fldChar w:fldCharType="separate"/>
      </w:r>
      <w:r>
        <w:rPr>
          <w:color w:val="0000FF"/>
          <w:spacing w:val="-2"/>
          <w:sz w:val="24"/>
          <w:u w:val="single" w:color="0000FF"/>
        </w:rPr>
        <w:t>http://data.europa.eu/eli/reg</w:t>
      </w:r>
      <w:r>
        <w:rPr>
          <w:spacing w:val="-2"/>
          <w:sz w:val="24"/>
        </w:rPr>
        <w:t>.</w:t>
      </w:r>
      <w:r>
        <w:rPr>
          <w:spacing w:val="-2"/>
          <w:sz w:val="24"/>
        </w:rPr>
        <w:fldChar w:fldCharType="end"/>
      </w:r>
    </w:p>
    <w:p w14:paraId="1033BF45">
      <w:pPr>
        <w:pStyle w:val="10"/>
        <w:numPr>
          <w:ilvl w:val="0"/>
          <w:numId w:val="11"/>
        </w:numPr>
        <w:tabs>
          <w:tab w:val="left" w:pos="1080"/>
        </w:tabs>
        <w:spacing w:before="0" w:after="0" w:line="240" w:lineRule="auto"/>
        <w:ind w:left="1080" w:right="356" w:hanging="360"/>
        <w:jc w:val="both"/>
        <w:rPr>
          <w:sz w:val="24"/>
        </w:rPr>
      </w:pPr>
      <w:r>
        <w:rPr>
          <w:b/>
          <w:sz w:val="24"/>
        </w:rPr>
        <w:t xml:space="preserve">Food and Agriculture Organization (FAO) &amp; World Bank. </w:t>
      </w:r>
      <w:r>
        <w:rPr>
          <w:sz w:val="24"/>
        </w:rPr>
        <w:t xml:space="preserve">(2024). </w:t>
      </w:r>
      <w:r>
        <w:rPr>
          <w:i/>
          <w:sz w:val="24"/>
        </w:rPr>
        <w:t>The Gezira Agricultural Scheme: Structural Degradation, Tenant Displacement, and Resource Warfare during Civil Conflict</w:t>
      </w:r>
      <w:r>
        <w:rPr>
          <w:sz w:val="24"/>
        </w:rPr>
        <w:t>. Rome/Washington: Joint Assessment Mission.</w:t>
      </w:r>
    </w:p>
    <w:p w14:paraId="6934334F">
      <w:pPr>
        <w:pStyle w:val="10"/>
        <w:numPr>
          <w:ilvl w:val="0"/>
          <w:numId w:val="11"/>
        </w:numPr>
        <w:tabs>
          <w:tab w:val="left" w:pos="1080"/>
        </w:tabs>
        <w:spacing w:before="1" w:after="0" w:line="240" w:lineRule="auto"/>
        <w:ind w:left="1080" w:right="359" w:hanging="360"/>
        <w:jc w:val="both"/>
        <w:rPr>
          <w:sz w:val="24"/>
        </w:rPr>
      </w:pPr>
      <w:r>
        <w:rPr>
          <w:b/>
          <w:sz w:val="24"/>
        </w:rPr>
        <w:t xml:space="preserve">Human Rights Watch (HRW). </w:t>
      </w:r>
      <w:r>
        <w:rPr>
          <w:sz w:val="24"/>
        </w:rPr>
        <w:t>(2025).</w:t>
      </w:r>
      <w:r>
        <w:rPr>
          <w:spacing w:val="-3"/>
          <w:sz w:val="24"/>
        </w:rPr>
        <w:t xml:space="preserve"> </w:t>
      </w:r>
      <w:r>
        <w:rPr>
          <w:i/>
          <w:sz w:val="24"/>
        </w:rPr>
        <w:t>Hold</w:t>
      </w:r>
      <w:r>
        <w:rPr>
          <w:i/>
          <w:spacing w:val="-2"/>
          <w:sz w:val="24"/>
        </w:rPr>
        <w:t xml:space="preserve"> </w:t>
      </w:r>
      <w:r>
        <w:rPr>
          <w:i/>
          <w:sz w:val="24"/>
        </w:rPr>
        <w:t>Defecting</w:t>
      </w:r>
      <w:r>
        <w:rPr>
          <w:i/>
          <w:spacing w:val="-2"/>
          <w:sz w:val="24"/>
        </w:rPr>
        <w:t xml:space="preserve"> </w:t>
      </w:r>
      <w:r>
        <w:rPr>
          <w:i/>
          <w:sz w:val="24"/>
        </w:rPr>
        <w:t>Armed</w:t>
      </w:r>
      <w:r>
        <w:rPr>
          <w:i/>
          <w:spacing w:val="-2"/>
          <w:sz w:val="24"/>
        </w:rPr>
        <w:t xml:space="preserve"> </w:t>
      </w:r>
      <w:r>
        <w:rPr>
          <w:i/>
          <w:sz w:val="24"/>
        </w:rPr>
        <w:t>Group Commanders</w:t>
      </w:r>
      <w:r>
        <w:rPr>
          <w:i/>
          <w:spacing w:val="-2"/>
          <w:sz w:val="24"/>
        </w:rPr>
        <w:t xml:space="preserve"> </w:t>
      </w:r>
      <w:r>
        <w:rPr>
          <w:i/>
          <w:sz w:val="24"/>
        </w:rPr>
        <w:t>to</w:t>
      </w:r>
      <w:r>
        <w:rPr>
          <w:i/>
          <w:spacing w:val="-2"/>
          <w:sz w:val="24"/>
        </w:rPr>
        <w:t xml:space="preserve"> </w:t>
      </w:r>
      <w:r>
        <w:rPr>
          <w:i/>
          <w:sz w:val="24"/>
        </w:rPr>
        <w:t>Account: The Case of Abu Aqla Keikel and the Sudan Shield Forces</w:t>
      </w:r>
      <w:r>
        <w:rPr>
          <w:sz w:val="24"/>
        </w:rPr>
        <w:t>. Nairobi: HRW Africa Division.</w:t>
      </w:r>
    </w:p>
    <w:p w14:paraId="4139B376">
      <w:pPr>
        <w:pStyle w:val="10"/>
        <w:numPr>
          <w:ilvl w:val="0"/>
          <w:numId w:val="11"/>
        </w:numPr>
        <w:tabs>
          <w:tab w:val="left" w:pos="1080"/>
        </w:tabs>
        <w:spacing w:before="0" w:after="0" w:line="240" w:lineRule="auto"/>
        <w:ind w:left="1080" w:right="353" w:hanging="360"/>
        <w:jc w:val="both"/>
        <w:rPr>
          <w:sz w:val="24"/>
        </w:rPr>
      </w:pPr>
      <w:r>
        <w:rPr>
          <w:b/>
          <w:sz w:val="24"/>
        </w:rPr>
        <w:t xml:space="preserve">ACLED. </w:t>
      </w:r>
      <w:r>
        <w:rPr>
          <w:sz w:val="24"/>
        </w:rPr>
        <w:t xml:space="preserve">2025. Two years of war in Sudan: How the SAF is gaining the upper hand. </w:t>
      </w:r>
      <w:r>
        <w:fldChar w:fldCharType="begin"/>
      </w:r>
      <w:r>
        <w:instrText xml:space="preserve"> HYPERLINK "https://acleddata.com/report" \h </w:instrText>
      </w:r>
      <w:r>
        <w:fldChar w:fldCharType="separate"/>
      </w:r>
      <w:r>
        <w:rPr>
          <w:color w:val="0000FF"/>
          <w:spacing w:val="-2"/>
          <w:sz w:val="24"/>
          <w:u w:val="single" w:color="0000FF"/>
        </w:rPr>
        <w:t>https://acleddata.com/report</w:t>
      </w:r>
      <w:r>
        <w:rPr>
          <w:spacing w:val="-2"/>
          <w:sz w:val="24"/>
        </w:rPr>
        <w:t>.</w:t>
      </w:r>
      <w:r>
        <w:rPr>
          <w:spacing w:val="-2"/>
          <w:sz w:val="24"/>
        </w:rPr>
        <w:fldChar w:fldCharType="end"/>
      </w:r>
    </w:p>
    <w:p w14:paraId="0E38566C">
      <w:pPr>
        <w:pStyle w:val="10"/>
        <w:spacing w:after="0" w:line="240" w:lineRule="auto"/>
        <w:jc w:val="both"/>
        <w:rPr>
          <w:sz w:val="24"/>
        </w:rPr>
        <w:sectPr>
          <w:pgSz w:w="12240" w:h="15840"/>
          <w:pgMar w:top="1360" w:right="720" w:bottom="1240" w:left="720" w:header="72" w:footer="966" w:gutter="0"/>
          <w:cols w:space="720" w:num="1"/>
        </w:sectPr>
      </w:pPr>
    </w:p>
    <w:p w14:paraId="5EBDC56F">
      <w:pPr>
        <w:pStyle w:val="6"/>
      </w:pPr>
    </w:p>
    <w:p w14:paraId="4FDE21BC">
      <w:pPr>
        <w:pStyle w:val="6"/>
      </w:pPr>
    </w:p>
    <w:p w14:paraId="20F3E430">
      <w:pPr>
        <w:pStyle w:val="6"/>
        <w:spacing w:before="267"/>
      </w:pPr>
    </w:p>
    <w:p w14:paraId="17A8D537">
      <w:pPr>
        <w:pStyle w:val="10"/>
        <w:numPr>
          <w:ilvl w:val="0"/>
          <w:numId w:val="11"/>
        </w:numPr>
        <w:tabs>
          <w:tab w:val="left" w:pos="1080"/>
        </w:tabs>
        <w:spacing w:before="0" w:after="0" w:line="240" w:lineRule="auto"/>
        <w:ind w:left="1080" w:right="358" w:hanging="360"/>
        <w:jc w:val="both"/>
        <w:rPr>
          <w:sz w:val="24"/>
        </w:rPr>
      </w:pPr>
      <w:r>
        <w:rPr>
          <w:b/>
          <w:sz w:val="24"/>
        </w:rPr>
        <w:t xml:space="preserve">International Blue Crescent (IBC). </w:t>
      </w:r>
      <w:r>
        <w:rPr>
          <w:sz w:val="24"/>
        </w:rPr>
        <w:t xml:space="preserve">(2026). </w:t>
      </w:r>
      <w:r>
        <w:rPr>
          <w:i/>
          <w:sz w:val="24"/>
        </w:rPr>
        <w:t>Sudan Integrated Humanitarian Appeal: Displacement Dynamics from Gezira to the Eastern Corridor</w:t>
      </w:r>
      <w:r>
        <w:rPr>
          <w:sz w:val="24"/>
        </w:rPr>
        <w:t>. Relief Web Document.</w:t>
      </w:r>
    </w:p>
    <w:p w14:paraId="32DEDA05">
      <w:pPr>
        <w:pStyle w:val="10"/>
        <w:numPr>
          <w:ilvl w:val="0"/>
          <w:numId w:val="11"/>
        </w:numPr>
        <w:tabs>
          <w:tab w:val="left" w:pos="1080"/>
        </w:tabs>
        <w:spacing w:before="0" w:after="0" w:line="240" w:lineRule="auto"/>
        <w:ind w:left="1080" w:right="357" w:hanging="360"/>
        <w:jc w:val="both"/>
        <w:rPr>
          <w:sz w:val="24"/>
        </w:rPr>
      </w:pPr>
      <w:r>
        <w:rPr>
          <w:b/>
          <w:sz w:val="24"/>
        </w:rPr>
        <w:t xml:space="preserve">Security Council Report. (2025). </w:t>
      </w:r>
      <w:r>
        <w:rPr>
          <w:sz w:val="24"/>
        </w:rPr>
        <w:t xml:space="preserve">Sudan: Vote on a Draft Resolution Extending the Sanctions Regime. </w:t>
      </w:r>
      <w:r>
        <w:fldChar w:fldCharType="begin"/>
      </w:r>
      <w:r>
        <w:instrText xml:space="preserve"> HYPERLINK "https://www.securitycouncilreport.org/" \h </w:instrText>
      </w:r>
      <w:r>
        <w:fldChar w:fldCharType="separate"/>
      </w:r>
      <w:r>
        <w:rPr>
          <w:color w:val="0000FF"/>
          <w:sz w:val="24"/>
          <w:u w:val="single" w:color="0000FF"/>
        </w:rPr>
        <w:t>https://www.securitycouncilreport.org</w:t>
      </w:r>
      <w:r>
        <w:rPr>
          <w:sz w:val="24"/>
        </w:rPr>
        <w:t>.</w:t>
      </w:r>
      <w:r>
        <w:rPr>
          <w:sz w:val="24"/>
        </w:rPr>
        <w:fldChar w:fldCharType="end"/>
      </w:r>
    </w:p>
    <w:p w14:paraId="2AAF11BF">
      <w:pPr>
        <w:pStyle w:val="10"/>
        <w:numPr>
          <w:ilvl w:val="0"/>
          <w:numId w:val="11"/>
        </w:numPr>
        <w:tabs>
          <w:tab w:val="left" w:pos="1080"/>
        </w:tabs>
        <w:spacing w:before="0" w:after="0" w:line="240" w:lineRule="auto"/>
        <w:ind w:left="1080" w:right="358" w:hanging="360"/>
        <w:jc w:val="both"/>
        <w:rPr>
          <w:sz w:val="24"/>
        </w:rPr>
      </w:pPr>
      <w:r>
        <w:rPr>
          <w:b/>
          <w:sz w:val="24"/>
        </w:rPr>
        <w:t xml:space="preserve">Sudan War Monitor. </w:t>
      </w:r>
      <w:r>
        <w:rPr>
          <w:sz w:val="24"/>
        </w:rPr>
        <w:t xml:space="preserve">(2025). </w:t>
      </w:r>
      <w:r>
        <w:rPr>
          <w:i/>
          <w:sz w:val="24"/>
        </w:rPr>
        <w:t>The Cartel Economy of Central Sudan: Checkpoint Taxation, Commercial Permitting, and the Capture of Crop-Marketing Boards</w:t>
      </w:r>
      <w:r>
        <w:rPr>
          <w:sz w:val="24"/>
        </w:rPr>
        <w:t>. Port Sudan: Independent Conflict Research Unit.</w:t>
      </w:r>
    </w:p>
    <w:p w14:paraId="561A6BD2">
      <w:pPr>
        <w:pStyle w:val="10"/>
        <w:numPr>
          <w:ilvl w:val="0"/>
          <w:numId w:val="11"/>
        </w:numPr>
        <w:tabs>
          <w:tab w:val="left" w:pos="1080"/>
        </w:tabs>
        <w:spacing w:before="0" w:after="0" w:line="240" w:lineRule="auto"/>
        <w:ind w:left="1080" w:right="353" w:hanging="360"/>
        <w:jc w:val="both"/>
        <w:rPr>
          <w:sz w:val="24"/>
        </w:rPr>
      </w:pPr>
      <w:r>
        <w:rPr>
          <w:b/>
          <w:sz w:val="24"/>
        </w:rPr>
        <w:t>UK Foreign</w:t>
      </w:r>
      <w:r>
        <w:rPr>
          <w:sz w:val="24"/>
        </w:rPr>
        <w:t xml:space="preserve">, Commonwealth &amp; Development Office. (2026). Guidance: Sudan: list of designations and sanctions notices. </w:t>
      </w:r>
      <w:r>
        <w:fldChar w:fldCharType="begin"/>
      </w:r>
      <w:r>
        <w:instrText xml:space="preserve"> HYPERLINK "https://www.gov.uk/guidance/suda" \h </w:instrText>
      </w:r>
      <w:r>
        <w:fldChar w:fldCharType="separate"/>
      </w:r>
      <w:r>
        <w:rPr>
          <w:color w:val="0000FF"/>
          <w:sz w:val="24"/>
          <w:u w:val="single" w:color="0000FF"/>
        </w:rPr>
        <w:t>https://www.gov.uk/guidance/suda</w:t>
      </w:r>
      <w:r>
        <w:rPr>
          <w:sz w:val="24"/>
        </w:rPr>
        <w:t>.</w:t>
      </w:r>
      <w:r>
        <w:rPr>
          <w:sz w:val="24"/>
        </w:rPr>
        <w:fldChar w:fldCharType="end"/>
      </w:r>
    </w:p>
    <w:p w14:paraId="634A21F9">
      <w:pPr>
        <w:pStyle w:val="10"/>
        <w:numPr>
          <w:ilvl w:val="0"/>
          <w:numId w:val="11"/>
        </w:numPr>
        <w:tabs>
          <w:tab w:val="left" w:pos="1080"/>
        </w:tabs>
        <w:spacing w:before="1" w:after="0" w:line="240" w:lineRule="auto"/>
        <w:ind w:left="1080" w:right="356" w:hanging="360"/>
        <w:jc w:val="both"/>
        <w:rPr>
          <w:sz w:val="24"/>
        </w:rPr>
      </w:pPr>
      <w:r>
        <w:rPr>
          <w:b/>
          <w:sz w:val="24"/>
        </w:rPr>
        <w:t xml:space="preserve">United Nations Human Rights Council (UNHRC). </w:t>
      </w:r>
      <w:r>
        <w:rPr>
          <w:sz w:val="24"/>
        </w:rPr>
        <w:t xml:space="preserve">(2026). </w:t>
      </w:r>
      <w:r>
        <w:rPr>
          <w:i/>
          <w:sz w:val="24"/>
        </w:rPr>
        <w:t>Report of the Independent International Fact-Finding Mission for the Sudan: A War of Atrocities and Ethnic Reprisals in Gezira and Kordofan</w:t>
      </w:r>
      <w:r>
        <w:rPr>
          <w:sz w:val="24"/>
        </w:rPr>
        <w:t>. Geneva: United Nations.</w:t>
      </w:r>
    </w:p>
    <w:p w14:paraId="1DFF4B9D">
      <w:pPr>
        <w:pStyle w:val="10"/>
        <w:spacing w:after="0" w:line="240" w:lineRule="auto"/>
        <w:jc w:val="both"/>
        <w:rPr>
          <w:sz w:val="24"/>
        </w:rPr>
        <w:sectPr>
          <w:pgSz w:w="12240" w:h="15840"/>
          <w:pgMar w:top="1360" w:right="720" w:bottom="1240" w:left="720" w:header="72" w:footer="966" w:gutter="0"/>
          <w:cols w:space="720" w:num="1"/>
        </w:sectPr>
      </w:pPr>
    </w:p>
    <w:p w14:paraId="6FDCA160">
      <w:pPr>
        <w:pStyle w:val="6"/>
        <w:jc w:val="left"/>
      </w:pPr>
    </w:p>
    <w:p w14:paraId="29385845">
      <w:pPr>
        <w:pStyle w:val="6"/>
      </w:pPr>
    </w:p>
    <w:p w14:paraId="5834C270">
      <w:pPr>
        <w:pStyle w:val="6"/>
        <w:spacing w:before="267"/>
      </w:pPr>
    </w:p>
    <w:p w14:paraId="69BBDD1F">
      <w:pPr>
        <w:pStyle w:val="3"/>
        <w:numPr>
          <w:ilvl w:val="0"/>
          <w:numId w:val="3"/>
        </w:numPr>
        <w:tabs>
          <w:tab w:val="left" w:pos="540"/>
        </w:tabs>
        <w:spacing w:before="0" w:after="0" w:line="240" w:lineRule="auto"/>
        <w:ind w:left="540" w:right="0" w:hanging="180"/>
        <w:jc w:val="left"/>
        <w:rPr>
          <w:u w:val="single"/>
        </w:rPr>
      </w:pPr>
      <w:r>
        <w:rPr>
          <w:u w:val="single"/>
        </w:rPr>
        <w:t xml:space="preserve"> ​</w:t>
      </w:r>
      <w:r>
        <w:rPr>
          <w:spacing w:val="-2"/>
          <w:u w:val="single"/>
        </w:rPr>
        <w:t>Appendices</w:t>
      </w:r>
      <w:r>
        <w:rPr>
          <w:spacing w:val="40"/>
          <w:u w:val="single"/>
        </w:rPr>
        <w:t xml:space="preserve"> </w:t>
      </w:r>
    </w:p>
    <w:p w14:paraId="019F77BD">
      <w:pPr>
        <w:pStyle w:val="6"/>
        <w:spacing w:before="5"/>
        <w:rPr>
          <w:b/>
        </w:rPr>
      </w:pPr>
    </w:p>
    <w:p w14:paraId="56A4908D">
      <w:pPr>
        <w:pStyle w:val="6"/>
        <w:ind w:left="360"/>
      </w:pPr>
      <w:r>
        <w:t>Appendix</w:t>
      </w:r>
      <w:r>
        <w:rPr>
          <w:spacing w:val="-3"/>
        </w:rPr>
        <w:t xml:space="preserve"> </w:t>
      </w:r>
      <w:r>
        <w:t>1:</w:t>
      </w:r>
      <w:r>
        <w:rPr>
          <w:spacing w:val="-1"/>
        </w:rPr>
        <w:t xml:space="preserve"> </w:t>
      </w:r>
      <w:r>
        <w:t>Sudan</w:t>
      </w:r>
      <w:r>
        <w:rPr>
          <w:spacing w:val="-1"/>
        </w:rPr>
        <w:t xml:space="preserve"> </w:t>
      </w:r>
      <w:r>
        <w:t>Shield</w:t>
      </w:r>
      <w:r>
        <w:rPr>
          <w:spacing w:val="-1"/>
        </w:rPr>
        <w:t xml:space="preserve"> </w:t>
      </w:r>
      <w:r>
        <w:t>Force:</w:t>
      </w:r>
      <w:r>
        <w:rPr>
          <w:spacing w:val="-1"/>
        </w:rPr>
        <w:t xml:space="preserve"> </w:t>
      </w:r>
      <w:r>
        <w:t>Territorial</w:t>
      </w:r>
      <w:r>
        <w:rPr>
          <w:spacing w:val="-1"/>
        </w:rPr>
        <w:t xml:space="preserve"> </w:t>
      </w:r>
      <w:r>
        <w:t>distribution</w:t>
      </w:r>
      <w:r>
        <w:rPr>
          <w:spacing w:val="-1"/>
        </w:rPr>
        <w:t xml:space="preserve"> </w:t>
      </w:r>
      <w:r>
        <w:t>and</w:t>
      </w:r>
      <w:r>
        <w:rPr>
          <w:spacing w:val="-1"/>
        </w:rPr>
        <w:t xml:space="preserve"> </w:t>
      </w:r>
      <w:r>
        <w:t>zones</w:t>
      </w:r>
      <w:r>
        <w:rPr>
          <w:spacing w:val="-1"/>
        </w:rPr>
        <w:t xml:space="preserve"> </w:t>
      </w:r>
      <w:r>
        <w:t>of</w:t>
      </w:r>
      <w:r>
        <w:rPr>
          <w:spacing w:val="-1"/>
        </w:rPr>
        <w:t xml:space="preserve"> </w:t>
      </w:r>
      <w:r>
        <w:rPr>
          <w:spacing w:val="-2"/>
        </w:rPr>
        <w:t>influence</w:t>
      </w:r>
    </w:p>
    <w:p w14:paraId="0FE77A26">
      <w:pPr>
        <w:pStyle w:val="6"/>
        <w:spacing w:before="138"/>
        <w:rPr>
          <w:sz w:val="20"/>
        </w:rPr>
      </w:pPr>
      <w:r>
        <w:rPr>
          <w:sz w:val="20"/>
        </w:rPr>
        <w:drawing>
          <wp:anchor distT="0" distB="0" distL="0" distR="0" simplePos="0" relativeHeight="251662336" behindDoc="1" locked="0" layoutInCell="1" allowOverlap="1">
            <wp:simplePos x="0" y="0"/>
            <wp:positionH relativeFrom="page">
              <wp:posOffset>685800</wp:posOffset>
            </wp:positionH>
            <wp:positionV relativeFrom="paragraph">
              <wp:posOffset>248920</wp:posOffset>
            </wp:positionV>
            <wp:extent cx="5224145" cy="4653280"/>
            <wp:effectExtent l="0" t="0" r="0" b="0"/>
            <wp:wrapTopAndBottom/>
            <wp:docPr id="8" name="Image 8" descr="Map - Areas of activity of the Sudan Shield Forces October 2024 - March 2025"/>
            <wp:cNvGraphicFramePr/>
            <a:graphic xmlns:a="http://schemas.openxmlformats.org/drawingml/2006/main">
              <a:graphicData uri="http://schemas.openxmlformats.org/drawingml/2006/picture">
                <pic:pic xmlns:pic="http://schemas.openxmlformats.org/drawingml/2006/picture">
                  <pic:nvPicPr>
                    <pic:cNvPr id="8" name="Image 8" descr="Map - Areas of activity of the Sudan Shield Forces October 2024 - March 2025"/>
                    <pic:cNvPicPr/>
                  </pic:nvPicPr>
                  <pic:blipFill>
                    <a:blip r:embed="rId10" cstate="print"/>
                    <a:stretch>
                      <a:fillRect/>
                    </a:stretch>
                  </pic:blipFill>
                  <pic:spPr>
                    <a:xfrm>
                      <a:off x="0" y="0"/>
                      <a:ext cx="5224096" cy="4653533"/>
                    </a:xfrm>
                    <a:prstGeom prst="rect">
                      <a:avLst/>
                    </a:prstGeom>
                  </pic:spPr>
                </pic:pic>
              </a:graphicData>
            </a:graphic>
          </wp:anchor>
        </w:drawing>
      </w:r>
    </w:p>
    <w:p w14:paraId="31DD6B88">
      <w:pPr>
        <w:pStyle w:val="6"/>
        <w:spacing w:before="63"/>
      </w:pPr>
    </w:p>
    <w:p w14:paraId="2A8A577B">
      <w:pPr>
        <w:pStyle w:val="6"/>
        <w:spacing w:before="1"/>
        <w:ind w:left="360"/>
      </w:pPr>
      <w:r>
        <w:t>Source:</w:t>
      </w:r>
      <w:r>
        <w:rPr>
          <w:spacing w:val="-3"/>
        </w:rPr>
        <w:t xml:space="preserve"> </w:t>
      </w:r>
      <w:r>
        <w:t>ACLED.</w:t>
      </w:r>
      <w:r>
        <w:rPr>
          <w:spacing w:val="-3"/>
        </w:rPr>
        <w:t xml:space="preserve"> </w:t>
      </w:r>
      <w:r>
        <w:rPr>
          <w:spacing w:val="-2"/>
        </w:rPr>
        <w:t>2025.</w:t>
      </w:r>
    </w:p>
    <w:p w14:paraId="0144DC5F">
      <w:pPr>
        <w:pStyle w:val="6"/>
      </w:pPr>
    </w:p>
    <w:p w14:paraId="7B795162">
      <w:pPr>
        <w:pStyle w:val="6"/>
      </w:pPr>
    </w:p>
    <w:p w14:paraId="18CDE560">
      <w:pPr>
        <w:pStyle w:val="6"/>
      </w:pPr>
    </w:p>
    <w:p w14:paraId="7B066172">
      <w:pPr>
        <w:pStyle w:val="6"/>
      </w:pPr>
    </w:p>
    <w:p w14:paraId="1862CF8B">
      <w:pPr>
        <w:pStyle w:val="6"/>
      </w:pPr>
    </w:p>
    <w:p w14:paraId="0EAB8E83">
      <w:pPr>
        <w:pStyle w:val="6"/>
      </w:pPr>
    </w:p>
    <w:p w14:paraId="733036A0">
      <w:pPr>
        <w:pStyle w:val="6"/>
      </w:pPr>
    </w:p>
    <w:p w14:paraId="0177296C">
      <w:pPr>
        <w:pStyle w:val="6"/>
      </w:pPr>
    </w:p>
    <w:p w14:paraId="525B0BDE">
      <w:pPr>
        <w:pStyle w:val="6"/>
        <w:spacing w:before="19"/>
      </w:pPr>
    </w:p>
    <w:p w14:paraId="6C2A98A4">
      <w:pPr>
        <w:pStyle w:val="3"/>
      </w:pPr>
      <w:r>
        <w:t>Appendix</w:t>
      </w:r>
      <w:r>
        <w:rPr>
          <w:spacing w:val="-5"/>
        </w:rPr>
        <w:t xml:space="preserve"> </w:t>
      </w:r>
      <w:r>
        <w:t>2:</w:t>
      </w:r>
      <w:r>
        <w:rPr>
          <w:spacing w:val="-4"/>
        </w:rPr>
        <w:t xml:space="preserve"> </w:t>
      </w:r>
      <w:r>
        <w:t>International</w:t>
      </w:r>
      <w:r>
        <w:rPr>
          <w:spacing w:val="-4"/>
        </w:rPr>
        <w:t xml:space="preserve"> </w:t>
      </w:r>
      <w:r>
        <w:t>Sanctions</w:t>
      </w:r>
      <w:r>
        <w:rPr>
          <w:spacing w:val="-5"/>
        </w:rPr>
        <w:t xml:space="preserve"> </w:t>
      </w:r>
      <w:r>
        <w:t>Framework</w:t>
      </w:r>
      <w:r>
        <w:rPr>
          <w:spacing w:val="-3"/>
        </w:rPr>
        <w:t xml:space="preserve"> </w:t>
      </w:r>
      <w:r>
        <w:rPr>
          <w:spacing w:val="-2"/>
        </w:rPr>
        <w:t>Mapping</w:t>
      </w:r>
    </w:p>
    <w:p w14:paraId="3EF59D81">
      <w:pPr>
        <w:pStyle w:val="3"/>
        <w:spacing w:after="0"/>
        <w:sectPr>
          <w:pgSz w:w="12240" w:h="15840"/>
          <w:pgMar w:top="1360" w:right="720" w:bottom="1240" w:left="720" w:header="72" w:footer="966" w:gutter="0"/>
          <w:cols w:space="720" w:num="1"/>
        </w:sectPr>
      </w:pPr>
    </w:p>
    <w:p w14:paraId="1A0B2268">
      <w:pPr>
        <w:pStyle w:val="6"/>
        <w:ind w:left="360" w:right="366"/>
      </w:pPr>
      <w:r>
        <w:t>The table below outlines the specific multilateral and unilateral sanctions targeting non-state armed actors,</w:t>
      </w:r>
      <w:r>
        <w:rPr>
          <w:spacing w:val="-3"/>
        </w:rPr>
        <w:t xml:space="preserve"> </w:t>
      </w:r>
      <w:r>
        <w:t>hybrid</w:t>
      </w:r>
      <w:r>
        <w:rPr>
          <w:spacing w:val="-3"/>
        </w:rPr>
        <w:t xml:space="preserve"> </w:t>
      </w:r>
      <w:r>
        <w:t>proxies,</w:t>
      </w:r>
      <w:r>
        <w:rPr>
          <w:spacing w:val="-2"/>
        </w:rPr>
        <w:t xml:space="preserve"> </w:t>
      </w:r>
      <w:r>
        <w:t>and</w:t>
      </w:r>
      <w:r>
        <w:rPr>
          <w:spacing w:val="-3"/>
        </w:rPr>
        <w:t xml:space="preserve"> </w:t>
      </w:r>
      <w:r>
        <w:t>specific</w:t>
      </w:r>
      <w:r>
        <w:rPr>
          <w:spacing w:val="-4"/>
        </w:rPr>
        <w:t xml:space="preserve"> </w:t>
      </w:r>
      <w:r>
        <w:t>command</w:t>
      </w:r>
      <w:r>
        <w:rPr>
          <w:spacing w:val="-2"/>
        </w:rPr>
        <w:t xml:space="preserve"> </w:t>
      </w:r>
      <w:r>
        <w:t>structures</w:t>
      </w:r>
      <w:r>
        <w:rPr>
          <w:spacing w:val="-4"/>
        </w:rPr>
        <w:t xml:space="preserve"> </w:t>
      </w:r>
      <w:r>
        <w:t>operating</w:t>
      </w:r>
      <w:r>
        <w:rPr>
          <w:spacing w:val="-3"/>
        </w:rPr>
        <w:t xml:space="preserve"> </w:t>
      </w:r>
      <w:r>
        <w:t>within</w:t>
      </w:r>
      <w:r>
        <w:rPr>
          <w:spacing w:val="-3"/>
        </w:rPr>
        <w:t xml:space="preserve"> </w:t>
      </w:r>
      <w:r>
        <w:t>or</w:t>
      </w:r>
      <w:r>
        <w:rPr>
          <w:spacing w:val="-3"/>
        </w:rPr>
        <w:t xml:space="preserve"> </w:t>
      </w:r>
      <w:r>
        <w:t>adjacent</w:t>
      </w:r>
      <w:r>
        <w:rPr>
          <w:spacing w:val="-3"/>
        </w:rPr>
        <w:t xml:space="preserve"> </w:t>
      </w:r>
      <w:r>
        <w:t>to</w:t>
      </w:r>
      <w:r>
        <w:rPr>
          <w:spacing w:val="-3"/>
        </w:rPr>
        <w:t xml:space="preserve"> </w:t>
      </w:r>
      <w:r>
        <w:t>the</w:t>
      </w:r>
      <w:r>
        <w:rPr>
          <w:spacing w:val="-3"/>
        </w:rPr>
        <w:t xml:space="preserve"> </w:t>
      </w:r>
      <w:r>
        <w:t xml:space="preserve">Al-Gezira </w:t>
      </w:r>
      <w:r>
        <w:rPr>
          <w:spacing w:val="-2"/>
        </w:rPr>
        <w:t>theater.</w:t>
      </w:r>
    </w:p>
    <w:p w14:paraId="7CFEDCA4">
      <w:pPr>
        <w:pStyle w:val="3"/>
        <w:spacing w:before="268"/>
      </w:pPr>
      <w:r>
        <w:t>Current</w:t>
      </w:r>
      <w:r>
        <w:rPr>
          <w:spacing w:val="-5"/>
        </w:rPr>
        <w:t xml:space="preserve"> </w:t>
      </w:r>
      <w:r>
        <w:t>Sanctions</w:t>
      </w:r>
      <w:r>
        <w:rPr>
          <w:spacing w:val="-3"/>
        </w:rPr>
        <w:t xml:space="preserve"> </w:t>
      </w:r>
      <w:r>
        <w:t>Status</w:t>
      </w:r>
      <w:r>
        <w:rPr>
          <w:spacing w:val="-4"/>
        </w:rPr>
        <w:t xml:space="preserve"> </w:t>
      </w:r>
      <w:r>
        <w:t>Matrix</w:t>
      </w:r>
      <w:r>
        <w:rPr>
          <w:spacing w:val="-2"/>
        </w:rPr>
        <w:t xml:space="preserve"> </w:t>
      </w:r>
      <w:r>
        <w:t>(As</w:t>
      </w:r>
      <w:r>
        <w:rPr>
          <w:spacing w:val="-4"/>
        </w:rPr>
        <w:t xml:space="preserve"> </w:t>
      </w:r>
      <w:r>
        <w:t>of</w:t>
      </w:r>
      <w:r>
        <w:rPr>
          <w:spacing w:val="-2"/>
        </w:rPr>
        <w:t xml:space="preserve"> </w:t>
      </w:r>
      <w:r>
        <w:t>June</w:t>
      </w:r>
      <w:r>
        <w:rPr>
          <w:spacing w:val="-3"/>
        </w:rPr>
        <w:t xml:space="preserve"> </w:t>
      </w:r>
      <w:r>
        <w:rPr>
          <w:spacing w:val="-2"/>
        </w:rPr>
        <w:t>2026)</w:t>
      </w:r>
    </w:p>
    <w:p w14:paraId="776B1501">
      <w:pPr>
        <w:pStyle w:val="6"/>
        <w:spacing w:before="52"/>
        <w:rPr>
          <w:b/>
          <w:sz w:val="20"/>
        </w:rPr>
      </w:pPr>
    </w:p>
    <w:tbl>
      <w:tblPr>
        <w:tblStyle w:val="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2"/>
        <w:gridCol w:w="1419"/>
        <w:gridCol w:w="1558"/>
        <w:gridCol w:w="1844"/>
        <w:gridCol w:w="2970"/>
      </w:tblGrid>
      <w:tr w14:paraId="44806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1702" w:type="dxa"/>
          </w:tcPr>
          <w:p w14:paraId="4FD1C6D3">
            <w:pPr>
              <w:pStyle w:val="11"/>
              <w:ind w:right="327"/>
              <w:rPr>
                <w:b/>
                <w:sz w:val="20"/>
              </w:rPr>
            </w:pPr>
            <w:r>
              <w:rPr>
                <w:b/>
                <w:sz w:val="20"/>
              </w:rPr>
              <w:t>Target</w:t>
            </w:r>
            <w:r>
              <w:rPr>
                <w:b/>
                <w:spacing w:val="-13"/>
                <w:sz w:val="20"/>
              </w:rPr>
              <w:t xml:space="preserve"> </w:t>
            </w:r>
            <w:r>
              <w:rPr>
                <w:b/>
                <w:sz w:val="20"/>
              </w:rPr>
              <w:t>Actor</w:t>
            </w:r>
            <w:r>
              <w:rPr>
                <w:b/>
                <w:spacing w:val="-12"/>
                <w:sz w:val="20"/>
              </w:rPr>
              <w:t xml:space="preserve"> </w:t>
            </w:r>
            <w:r>
              <w:rPr>
                <w:b/>
                <w:sz w:val="20"/>
              </w:rPr>
              <w:t xml:space="preserve">/ </w:t>
            </w:r>
            <w:r>
              <w:rPr>
                <w:b/>
                <w:spacing w:val="-2"/>
                <w:sz w:val="20"/>
              </w:rPr>
              <w:t>Faction</w:t>
            </w:r>
          </w:p>
        </w:tc>
        <w:tc>
          <w:tcPr>
            <w:tcW w:w="1419" w:type="dxa"/>
          </w:tcPr>
          <w:p w14:paraId="50B3D0E2">
            <w:pPr>
              <w:pStyle w:val="11"/>
              <w:spacing w:line="230" w:lineRule="atLeast"/>
              <w:rPr>
                <w:b/>
                <w:sz w:val="20"/>
              </w:rPr>
            </w:pPr>
            <w:r>
              <w:rPr>
                <w:b/>
                <w:spacing w:val="-2"/>
                <w:sz w:val="20"/>
              </w:rPr>
              <w:t>Primary Sanctioning Authority</w:t>
            </w:r>
          </w:p>
        </w:tc>
        <w:tc>
          <w:tcPr>
            <w:tcW w:w="1558" w:type="dxa"/>
          </w:tcPr>
          <w:p w14:paraId="7E135373">
            <w:pPr>
              <w:pStyle w:val="11"/>
              <w:ind w:right="251"/>
              <w:rPr>
                <w:b/>
                <w:sz w:val="20"/>
              </w:rPr>
            </w:pPr>
            <w:r>
              <w:rPr>
                <w:b/>
                <w:spacing w:val="-2"/>
                <w:sz w:val="20"/>
              </w:rPr>
              <w:t xml:space="preserve">Designation </w:t>
            </w:r>
            <w:r>
              <w:rPr>
                <w:b/>
                <w:spacing w:val="-4"/>
                <w:sz w:val="20"/>
              </w:rPr>
              <w:t>Date</w:t>
            </w:r>
          </w:p>
        </w:tc>
        <w:tc>
          <w:tcPr>
            <w:tcW w:w="1844" w:type="dxa"/>
          </w:tcPr>
          <w:p w14:paraId="7A4F081F">
            <w:pPr>
              <w:pStyle w:val="11"/>
              <w:rPr>
                <w:b/>
                <w:sz w:val="20"/>
              </w:rPr>
            </w:pPr>
            <w:r>
              <w:rPr>
                <w:b/>
                <w:sz w:val="20"/>
              </w:rPr>
              <w:t>Sanction</w:t>
            </w:r>
            <w:r>
              <w:rPr>
                <w:b/>
                <w:spacing w:val="-13"/>
                <w:sz w:val="20"/>
              </w:rPr>
              <w:t xml:space="preserve"> </w:t>
            </w:r>
            <w:r>
              <w:rPr>
                <w:b/>
                <w:sz w:val="20"/>
              </w:rPr>
              <w:t>Type</w:t>
            </w:r>
            <w:r>
              <w:rPr>
                <w:b/>
                <w:spacing w:val="-12"/>
                <w:sz w:val="20"/>
              </w:rPr>
              <w:t xml:space="preserve"> </w:t>
            </w:r>
            <w:r>
              <w:rPr>
                <w:b/>
                <w:sz w:val="20"/>
              </w:rPr>
              <w:t xml:space="preserve">&amp; </w:t>
            </w:r>
            <w:r>
              <w:rPr>
                <w:b/>
                <w:spacing w:val="-2"/>
                <w:sz w:val="20"/>
              </w:rPr>
              <w:t>Scope</w:t>
            </w:r>
          </w:p>
        </w:tc>
        <w:tc>
          <w:tcPr>
            <w:tcW w:w="2970" w:type="dxa"/>
          </w:tcPr>
          <w:p w14:paraId="694E3B71">
            <w:pPr>
              <w:pStyle w:val="11"/>
              <w:ind w:right="105"/>
              <w:rPr>
                <w:b/>
                <w:sz w:val="20"/>
              </w:rPr>
            </w:pPr>
            <w:r>
              <w:rPr>
                <w:b/>
                <w:sz w:val="20"/>
              </w:rPr>
              <w:t>Listed</w:t>
            </w:r>
            <w:r>
              <w:rPr>
                <w:b/>
                <w:spacing w:val="-13"/>
                <w:sz w:val="20"/>
              </w:rPr>
              <w:t xml:space="preserve"> </w:t>
            </w:r>
            <w:r>
              <w:rPr>
                <w:b/>
                <w:sz w:val="20"/>
              </w:rPr>
              <w:t>Legal</w:t>
            </w:r>
            <w:r>
              <w:rPr>
                <w:b/>
                <w:spacing w:val="-12"/>
                <w:sz w:val="20"/>
              </w:rPr>
              <w:t xml:space="preserve"> </w:t>
            </w:r>
            <w:r>
              <w:rPr>
                <w:b/>
                <w:sz w:val="20"/>
              </w:rPr>
              <w:t>Basis</w:t>
            </w:r>
            <w:r>
              <w:rPr>
                <w:b/>
                <w:spacing w:val="-13"/>
                <w:sz w:val="20"/>
              </w:rPr>
              <w:t xml:space="preserve"> </w:t>
            </w:r>
            <w:r>
              <w:rPr>
                <w:b/>
                <w:sz w:val="20"/>
              </w:rPr>
              <w:t>&amp; Operational</w:t>
            </w:r>
            <w:r>
              <w:rPr>
                <w:b/>
                <w:spacing w:val="-11"/>
                <w:sz w:val="20"/>
              </w:rPr>
              <w:t xml:space="preserve"> </w:t>
            </w:r>
            <w:r>
              <w:rPr>
                <w:b/>
                <w:spacing w:val="-2"/>
                <w:sz w:val="20"/>
              </w:rPr>
              <w:t>Context</w:t>
            </w:r>
          </w:p>
        </w:tc>
      </w:tr>
      <w:tr w14:paraId="77164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702" w:type="dxa"/>
          </w:tcPr>
          <w:p w14:paraId="567AB5F8">
            <w:pPr>
              <w:pStyle w:val="11"/>
              <w:ind w:right="327"/>
              <w:rPr>
                <w:i/>
                <w:sz w:val="20"/>
              </w:rPr>
            </w:pPr>
            <w:r>
              <w:rPr>
                <w:b/>
                <w:sz w:val="20"/>
              </w:rPr>
              <w:t xml:space="preserve">Abu Aqla </w:t>
            </w:r>
            <w:r>
              <w:rPr>
                <w:b/>
                <w:spacing w:val="-2"/>
                <w:sz w:val="20"/>
              </w:rPr>
              <w:t xml:space="preserve">Mohamed </w:t>
            </w:r>
            <w:r>
              <w:rPr>
                <w:b/>
                <w:sz w:val="20"/>
              </w:rPr>
              <w:t>Ahmed</w:t>
            </w:r>
            <w:r>
              <w:rPr>
                <w:b/>
                <w:spacing w:val="-13"/>
                <w:sz w:val="20"/>
              </w:rPr>
              <w:t xml:space="preserve"> </w:t>
            </w:r>
            <w:r>
              <w:rPr>
                <w:b/>
                <w:sz w:val="20"/>
              </w:rPr>
              <w:t xml:space="preserve">Kaikal </w:t>
            </w:r>
            <w:r>
              <w:rPr>
                <w:b/>
                <w:i/>
                <w:sz w:val="20"/>
              </w:rPr>
              <w:t>(</w:t>
            </w:r>
            <w:r>
              <w:rPr>
                <w:i/>
                <w:sz w:val="20"/>
              </w:rPr>
              <w:t>Head of the Sudan Shield</w:t>
            </w:r>
          </w:p>
          <w:p w14:paraId="79BAB3E0">
            <w:pPr>
              <w:pStyle w:val="11"/>
              <w:spacing w:line="210" w:lineRule="exact"/>
              <w:rPr>
                <w:b/>
                <w:i/>
                <w:sz w:val="20"/>
              </w:rPr>
            </w:pPr>
            <w:r>
              <w:rPr>
                <w:i/>
                <w:sz w:val="20"/>
              </w:rPr>
              <w:t>Forces</w:t>
            </w:r>
            <w:r>
              <w:rPr>
                <w:i/>
                <w:spacing w:val="-5"/>
                <w:sz w:val="20"/>
              </w:rPr>
              <w:t xml:space="preserve"> </w:t>
            </w:r>
            <w:r>
              <w:rPr>
                <w:i/>
                <w:sz w:val="20"/>
              </w:rPr>
              <w:t>/</w:t>
            </w:r>
            <w:r>
              <w:rPr>
                <w:i/>
                <w:spacing w:val="-4"/>
                <w:sz w:val="20"/>
              </w:rPr>
              <w:t xml:space="preserve"> SSF</w:t>
            </w:r>
            <w:r>
              <w:rPr>
                <w:b/>
                <w:i/>
                <w:spacing w:val="-4"/>
                <w:sz w:val="20"/>
              </w:rPr>
              <w:t>)</w:t>
            </w:r>
          </w:p>
        </w:tc>
        <w:tc>
          <w:tcPr>
            <w:tcW w:w="1419" w:type="dxa"/>
          </w:tcPr>
          <w:p w14:paraId="1D008459">
            <w:pPr>
              <w:pStyle w:val="11"/>
              <w:ind w:right="345"/>
              <w:rPr>
                <w:sz w:val="20"/>
              </w:rPr>
            </w:pPr>
            <w:r>
              <w:rPr>
                <w:spacing w:val="-2"/>
                <w:sz w:val="20"/>
              </w:rPr>
              <w:t xml:space="preserve">European </w:t>
            </w:r>
            <w:r>
              <w:rPr>
                <w:sz w:val="20"/>
              </w:rPr>
              <w:t>Union</w:t>
            </w:r>
            <w:r>
              <w:rPr>
                <w:spacing w:val="-13"/>
                <w:sz w:val="20"/>
              </w:rPr>
              <w:t xml:space="preserve"> </w:t>
            </w:r>
            <w:r>
              <w:rPr>
                <w:sz w:val="20"/>
              </w:rPr>
              <w:t>(EU)</w:t>
            </w:r>
          </w:p>
        </w:tc>
        <w:tc>
          <w:tcPr>
            <w:tcW w:w="1558" w:type="dxa"/>
          </w:tcPr>
          <w:p w14:paraId="547C7159">
            <w:pPr>
              <w:pStyle w:val="11"/>
              <w:rPr>
                <w:sz w:val="20"/>
              </w:rPr>
            </w:pPr>
            <w:r>
              <w:rPr>
                <w:sz w:val="20"/>
              </w:rPr>
              <w:t>July</w:t>
            </w:r>
            <w:r>
              <w:rPr>
                <w:spacing w:val="-1"/>
                <w:sz w:val="20"/>
              </w:rPr>
              <w:t xml:space="preserve"> </w:t>
            </w:r>
            <w:r>
              <w:rPr>
                <w:sz w:val="20"/>
              </w:rPr>
              <w:t>18,</w:t>
            </w:r>
            <w:r>
              <w:rPr>
                <w:spacing w:val="-4"/>
                <w:sz w:val="20"/>
              </w:rPr>
              <w:t xml:space="preserve"> 2025</w:t>
            </w:r>
          </w:p>
        </w:tc>
        <w:tc>
          <w:tcPr>
            <w:tcW w:w="1844" w:type="dxa"/>
          </w:tcPr>
          <w:p w14:paraId="0BBF8B5B">
            <w:pPr>
              <w:pStyle w:val="11"/>
              <w:numPr>
                <w:ilvl w:val="0"/>
                <w:numId w:val="12"/>
              </w:numPr>
              <w:tabs>
                <w:tab w:val="left" w:pos="225"/>
              </w:tabs>
              <w:spacing w:before="0" w:after="0" w:line="240" w:lineRule="auto"/>
              <w:ind w:left="225" w:right="0" w:hanging="118"/>
              <w:jc w:val="left"/>
              <w:rPr>
                <w:sz w:val="20"/>
              </w:rPr>
            </w:pPr>
            <w:r>
              <w:rPr>
                <w:sz w:val="20"/>
              </w:rPr>
              <w:t>Asset</w:t>
            </w:r>
            <w:r>
              <w:rPr>
                <w:spacing w:val="-7"/>
                <w:sz w:val="20"/>
              </w:rPr>
              <w:t xml:space="preserve"> </w:t>
            </w:r>
            <w:r>
              <w:rPr>
                <w:spacing w:val="-2"/>
                <w:sz w:val="20"/>
              </w:rPr>
              <w:t>Freeze</w:t>
            </w:r>
          </w:p>
          <w:p w14:paraId="33B7288B">
            <w:pPr>
              <w:pStyle w:val="11"/>
              <w:numPr>
                <w:ilvl w:val="0"/>
                <w:numId w:val="12"/>
              </w:numPr>
              <w:tabs>
                <w:tab w:val="left" w:pos="225"/>
              </w:tabs>
              <w:spacing w:before="0" w:after="0" w:line="240" w:lineRule="auto"/>
              <w:ind w:left="225" w:right="0" w:hanging="118"/>
              <w:jc w:val="left"/>
              <w:rPr>
                <w:sz w:val="20"/>
              </w:rPr>
            </w:pPr>
            <w:r>
              <w:rPr>
                <w:sz w:val="20"/>
              </w:rPr>
              <w:t>Visa/Travel</w:t>
            </w:r>
            <w:r>
              <w:rPr>
                <w:spacing w:val="-11"/>
                <w:sz w:val="20"/>
              </w:rPr>
              <w:t xml:space="preserve"> </w:t>
            </w:r>
            <w:r>
              <w:rPr>
                <w:spacing w:val="-5"/>
                <w:sz w:val="20"/>
              </w:rPr>
              <w:t>Ban</w:t>
            </w:r>
          </w:p>
        </w:tc>
        <w:tc>
          <w:tcPr>
            <w:tcW w:w="2970" w:type="dxa"/>
          </w:tcPr>
          <w:p w14:paraId="23FC81E9">
            <w:pPr>
              <w:pStyle w:val="11"/>
              <w:ind w:right="99"/>
              <w:jc w:val="both"/>
              <w:rPr>
                <w:sz w:val="20"/>
              </w:rPr>
            </w:pPr>
            <w:r>
              <w:rPr>
                <w:sz w:val="20"/>
              </w:rPr>
              <w:t>Accountable for actions threatening the peace, stability, and security of Sudan; directing serious human rights</w:t>
            </w:r>
            <w:r>
              <w:rPr>
                <w:spacing w:val="-1"/>
                <w:sz w:val="20"/>
              </w:rPr>
              <w:t xml:space="preserve"> </w:t>
            </w:r>
            <w:r>
              <w:rPr>
                <w:sz w:val="20"/>
              </w:rPr>
              <w:t>violations in Al-Gezira;</w:t>
            </w:r>
            <w:r>
              <w:rPr>
                <w:spacing w:val="66"/>
                <w:sz w:val="20"/>
              </w:rPr>
              <w:t xml:space="preserve">   </w:t>
            </w:r>
            <w:r>
              <w:rPr>
                <w:sz w:val="20"/>
              </w:rPr>
              <w:t>and</w:t>
            </w:r>
            <w:r>
              <w:rPr>
                <w:spacing w:val="66"/>
                <w:sz w:val="20"/>
              </w:rPr>
              <w:t xml:space="preserve">   </w:t>
            </w:r>
            <w:r>
              <w:rPr>
                <w:spacing w:val="-2"/>
                <w:sz w:val="20"/>
              </w:rPr>
              <w:t>obstructing</w:t>
            </w:r>
          </w:p>
          <w:p w14:paraId="57A12F71">
            <w:pPr>
              <w:pStyle w:val="11"/>
              <w:spacing w:line="210" w:lineRule="exact"/>
              <w:jc w:val="both"/>
              <w:rPr>
                <w:sz w:val="20"/>
              </w:rPr>
            </w:pPr>
            <w:r>
              <w:rPr>
                <w:sz w:val="20"/>
              </w:rPr>
              <w:t>humanitarian</w:t>
            </w:r>
            <w:r>
              <w:rPr>
                <w:spacing w:val="-6"/>
                <w:sz w:val="20"/>
              </w:rPr>
              <w:t xml:space="preserve"> </w:t>
            </w:r>
            <w:r>
              <w:rPr>
                <w:sz w:val="20"/>
              </w:rPr>
              <w:t>aid</w:t>
            </w:r>
            <w:r>
              <w:rPr>
                <w:spacing w:val="-5"/>
                <w:sz w:val="20"/>
              </w:rPr>
              <w:t xml:space="preserve"> </w:t>
            </w:r>
            <w:r>
              <w:rPr>
                <w:spacing w:val="-2"/>
                <w:sz w:val="20"/>
              </w:rPr>
              <w:t>access.</w:t>
            </w:r>
          </w:p>
        </w:tc>
      </w:tr>
      <w:tr w14:paraId="28A49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0" w:hRule="atLeast"/>
        </w:trPr>
        <w:tc>
          <w:tcPr>
            <w:tcW w:w="1702" w:type="dxa"/>
          </w:tcPr>
          <w:p w14:paraId="1349E4B1">
            <w:pPr>
              <w:pStyle w:val="11"/>
              <w:ind w:right="327"/>
              <w:rPr>
                <w:i/>
                <w:sz w:val="20"/>
              </w:rPr>
            </w:pPr>
            <w:r>
              <w:rPr>
                <w:b/>
                <w:sz w:val="20"/>
              </w:rPr>
              <w:t xml:space="preserve">Abu Aqla </w:t>
            </w:r>
            <w:r>
              <w:rPr>
                <w:b/>
                <w:spacing w:val="-2"/>
                <w:sz w:val="20"/>
              </w:rPr>
              <w:t xml:space="preserve">Mohamed </w:t>
            </w:r>
            <w:r>
              <w:rPr>
                <w:b/>
                <w:sz w:val="20"/>
              </w:rPr>
              <w:t>Ahmed</w:t>
            </w:r>
            <w:r>
              <w:rPr>
                <w:b/>
                <w:spacing w:val="-13"/>
                <w:sz w:val="20"/>
              </w:rPr>
              <w:t xml:space="preserve"> </w:t>
            </w:r>
            <w:r>
              <w:rPr>
                <w:b/>
                <w:sz w:val="20"/>
              </w:rPr>
              <w:t xml:space="preserve">Kaikal </w:t>
            </w:r>
            <w:r>
              <w:rPr>
                <w:b/>
                <w:i/>
                <w:sz w:val="20"/>
              </w:rPr>
              <w:t>(</w:t>
            </w:r>
            <w:r>
              <w:rPr>
                <w:i/>
                <w:sz w:val="20"/>
              </w:rPr>
              <w:t>Head of the Sudan Shield Forces / SSF)</w:t>
            </w:r>
          </w:p>
        </w:tc>
        <w:tc>
          <w:tcPr>
            <w:tcW w:w="1419" w:type="dxa"/>
          </w:tcPr>
          <w:p w14:paraId="25ED6BCB">
            <w:pPr>
              <w:pStyle w:val="11"/>
              <w:ind w:right="540"/>
              <w:rPr>
                <w:b/>
                <w:sz w:val="20"/>
              </w:rPr>
            </w:pPr>
            <w:r>
              <w:rPr>
                <w:spacing w:val="-2"/>
                <w:sz w:val="20"/>
              </w:rPr>
              <w:t>United Kingdom (FCDO</w:t>
            </w:r>
            <w:r>
              <w:rPr>
                <w:b/>
                <w:spacing w:val="-2"/>
                <w:sz w:val="20"/>
              </w:rPr>
              <w:t>)</w:t>
            </w:r>
          </w:p>
        </w:tc>
        <w:tc>
          <w:tcPr>
            <w:tcW w:w="1558" w:type="dxa"/>
          </w:tcPr>
          <w:p w14:paraId="2686B737">
            <w:pPr>
              <w:pStyle w:val="11"/>
              <w:rPr>
                <w:sz w:val="20"/>
              </w:rPr>
            </w:pPr>
            <w:r>
              <w:rPr>
                <w:sz w:val="20"/>
              </w:rPr>
              <w:t>February</w:t>
            </w:r>
            <w:r>
              <w:rPr>
                <w:spacing w:val="-6"/>
                <w:sz w:val="20"/>
              </w:rPr>
              <w:t xml:space="preserve"> </w:t>
            </w:r>
            <w:r>
              <w:rPr>
                <w:spacing w:val="-5"/>
                <w:sz w:val="20"/>
              </w:rPr>
              <w:t>5,</w:t>
            </w:r>
          </w:p>
          <w:p w14:paraId="3BD39D98">
            <w:pPr>
              <w:pStyle w:val="11"/>
              <w:rPr>
                <w:sz w:val="20"/>
              </w:rPr>
            </w:pPr>
            <w:r>
              <w:rPr>
                <w:spacing w:val="-4"/>
                <w:sz w:val="20"/>
              </w:rPr>
              <w:t>2026</w:t>
            </w:r>
          </w:p>
        </w:tc>
        <w:tc>
          <w:tcPr>
            <w:tcW w:w="1844" w:type="dxa"/>
          </w:tcPr>
          <w:p w14:paraId="7049BEC0">
            <w:pPr>
              <w:pStyle w:val="11"/>
              <w:numPr>
                <w:ilvl w:val="0"/>
                <w:numId w:val="13"/>
              </w:numPr>
              <w:tabs>
                <w:tab w:val="left" w:pos="225"/>
              </w:tabs>
              <w:spacing w:before="0" w:after="0" w:line="240" w:lineRule="auto"/>
              <w:ind w:left="225" w:right="0" w:hanging="118"/>
              <w:jc w:val="left"/>
              <w:rPr>
                <w:sz w:val="20"/>
              </w:rPr>
            </w:pPr>
            <w:r>
              <w:rPr>
                <w:sz w:val="20"/>
              </w:rPr>
              <w:t>Asset</w:t>
            </w:r>
            <w:r>
              <w:rPr>
                <w:spacing w:val="-7"/>
                <w:sz w:val="20"/>
              </w:rPr>
              <w:t xml:space="preserve"> </w:t>
            </w:r>
            <w:r>
              <w:rPr>
                <w:spacing w:val="-2"/>
                <w:sz w:val="20"/>
              </w:rPr>
              <w:t>Freeze</w:t>
            </w:r>
          </w:p>
          <w:p w14:paraId="0C8CD346">
            <w:pPr>
              <w:pStyle w:val="11"/>
              <w:numPr>
                <w:ilvl w:val="0"/>
                <w:numId w:val="13"/>
              </w:numPr>
              <w:tabs>
                <w:tab w:val="left" w:pos="225"/>
              </w:tabs>
              <w:spacing w:before="0" w:after="0" w:line="240" w:lineRule="auto"/>
              <w:ind w:left="225" w:right="0" w:hanging="118"/>
              <w:jc w:val="left"/>
              <w:rPr>
                <w:sz w:val="20"/>
              </w:rPr>
            </w:pPr>
            <w:r>
              <w:rPr>
                <w:sz w:val="20"/>
              </w:rPr>
              <w:t>Travel</w:t>
            </w:r>
            <w:r>
              <w:rPr>
                <w:spacing w:val="-4"/>
                <w:sz w:val="20"/>
              </w:rPr>
              <w:t xml:space="preserve"> </w:t>
            </w:r>
            <w:r>
              <w:rPr>
                <w:spacing w:val="-5"/>
                <w:sz w:val="20"/>
              </w:rPr>
              <w:t>Ban</w:t>
            </w:r>
          </w:p>
          <w:p w14:paraId="776D0A3E">
            <w:pPr>
              <w:pStyle w:val="11"/>
              <w:numPr>
                <w:ilvl w:val="0"/>
                <w:numId w:val="13"/>
              </w:numPr>
              <w:tabs>
                <w:tab w:val="left" w:pos="225"/>
              </w:tabs>
              <w:spacing w:before="1" w:after="0" w:line="240" w:lineRule="auto"/>
              <w:ind w:left="225" w:right="0" w:hanging="118"/>
              <w:jc w:val="left"/>
              <w:rPr>
                <w:sz w:val="20"/>
              </w:rPr>
            </w:pPr>
            <w:r>
              <w:rPr>
                <w:spacing w:val="-2"/>
                <w:sz w:val="20"/>
              </w:rPr>
              <w:t>Director</w:t>
            </w:r>
          </w:p>
          <w:p w14:paraId="08F57B1B">
            <w:pPr>
              <w:pStyle w:val="11"/>
              <w:rPr>
                <w:sz w:val="20"/>
              </w:rPr>
            </w:pPr>
            <w:r>
              <w:rPr>
                <w:spacing w:val="-2"/>
                <w:sz w:val="20"/>
              </w:rPr>
              <w:t>Disqualification</w:t>
            </w:r>
          </w:p>
        </w:tc>
        <w:tc>
          <w:tcPr>
            <w:tcW w:w="2970" w:type="dxa"/>
          </w:tcPr>
          <w:p w14:paraId="6E119CC2">
            <w:pPr>
              <w:pStyle w:val="11"/>
              <w:ind w:right="97"/>
              <w:jc w:val="both"/>
              <w:rPr>
                <w:sz w:val="20"/>
              </w:rPr>
            </w:pPr>
            <w:r>
              <w:rPr>
                <w:sz w:val="20"/>
              </w:rPr>
              <w:t xml:space="preserve">Designated under </w:t>
            </w:r>
            <w:r>
              <w:rPr>
                <w:i/>
                <w:sz w:val="20"/>
              </w:rPr>
              <w:t>The Sudan (Sanctions)</w:t>
            </w:r>
            <w:r>
              <w:rPr>
                <w:i/>
                <w:spacing w:val="-8"/>
                <w:sz w:val="20"/>
              </w:rPr>
              <w:t xml:space="preserve"> </w:t>
            </w:r>
            <w:r>
              <w:rPr>
                <w:i/>
                <w:sz w:val="20"/>
              </w:rPr>
              <w:t>(EU</w:t>
            </w:r>
            <w:r>
              <w:rPr>
                <w:i/>
                <w:spacing w:val="-8"/>
                <w:sz w:val="20"/>
              </w:rPr>
              <w:t xml:space="preserve"> </w:t>
            </w:r>
            <w:r>
              <w:rPr>
                <w:i/>
                <w:sz w:val="20"/>
              </w:rPr>
              <w:t>Exit)</w:t>
            </w:r>
            <w:r>
              <w:rPr>
                <w:i/>
                <w:spacing w:val="-8"/>
                <w:sz w:val="20"/>
              </w:rPr>
              <w:t xml:space="preserve"> </w:t>
            </w:r>
            <w:r>
              <w:rPr>
                <w:i/>
                <w:sz w:val="20"/>
              </w:rPr>
              <w:t xml:space="preserve">Regulations 2020 </w:t>
            </w:r>
            <w:r>
              <w:rPr>
                <w:sz w:val="20"/>
              </w:rPr>
              <w:t>for promoting, engaging in, and providing support for serious violations of international humanitarian law (IHL),</w:t>
            </w:r>
            <w:r>
              <w:rPr>
                <w:spacing w:val="40"/>
                <w:sz w:val="20"/>
              </w:rPr>
              <w:t xml:space="preserve"> </w:t>
            </w:r>
            <w:r>
              <w:rPr>
                <w:sz w:val="20"/>
              </w:rPr>
              <w:t>including</w:t>
            </w:r>
            <w:r>
              <w:rPr>
                <w:spacing w:val="52"/>
                <w:sz w:val="20"/>
              </w:rPr>
              <w:t xml:space="preserve">  </w:t>
            </w:r>
            <w:r>
              <w:rPr>
                <w:sz w:val="20"/>
              </w:rPr>
              <w:t>the</w:t>
            </w:r>
            <w:r>
              <w:rPr>
                <w:spacing w:val="53"/>
                <w:sz w:val="20"/>
              </w:rPr>
              <w:t xml:space="preserve">  </w:t>
            </w:r>
            <w:r>
              <w:rPr>
                <w:sz w:val="20"/>
              </w:rPr>
              <w:t>February</w:t>
            </w:r>
            <w:r>
              <w:rPr>
                <w:spacing w:val="52"/>
                <w:sz w:val="20"/>
              </w:rPr>
              <w:t xml:space="preserve">  </w:t>
            </w:r>
            <w:r>
              <w:rPr>
                <w:spacing w:val="-4"/>
                <w:sz w:val="20"/>
              </w:rPr>
              <w:t>2025</w:t>
            </w:r>
          </w:p>
          <w:p w14:paraId="0EAC3B6E">
            <w:pPr>
              <w:pStyle w:val="11"/>
              <w:spacing w:before="1" w:line="210" w:lineRule="exact"/>
              <w:jc w:val="both"/>
              <w:rPr>
                <w:sz w:val="20"/>
              </w:rPr>
            </w:pPr>
            <w:r>
              <w:rPr>
                <w:sz w:val="20"/>
              </w:rPr>
              <w:t>Taiba</w:t>
            </w:r>
            <w:r>
              <w:rPr>
                <w:spacing w:val="-6"/>
                <w:sz w:val="20"/>
              </w:rPr>
              <w:t xml:space="preserve"> </w:t>
            </w:r>
            <w:r>
              <w:rPr>
                <w:sz w:val="20"/>
              </w:rPr>
              <w:t>village</w:t>
            </w:r>
            <w:r>
              <w:rPr>
                <w:spacing w:val="-6"/>
                <w:sz w:val="20"/>
              </w:rPr>
              <w:t xml:space="preserve"> </w:t>
            </w:r>
            <w:r>
              <w:rPr>
                <w:sz w:val="20"/>
              </w:rPr>
              <w:t>reprisal</w:t>
            </w:r>
            <w:r>
              <w:rPr>
                <w:spacing w:val="-5"/>
                <w:sz w:val="20"/>
              </w:rPr>
              <w:t xml:space="preserve"> </w:t>
            </w:r>
            <w:r>
              <w:rPr>
                <w:spacing w:val="-2"/>
                <w:sz w:val="20"/>
              </w:rPr>
              <w:t>attack.</w:t>
            </w:r>
          </w:p>
        </w:tc>
      </w:tr>
      <w:tr w14:paraId="5F280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9" w:hRule="atLeast"/>
        </w:trPr>
        <w:tc>
          <w:tcPr>
            <w:tcW w:w="1702" w:type="dxa"/>
          </w:tcPr>
          <w:p w14:paraId="5A23C204">
            <w:pPr>
              <w:pStyle w:val="11"/>
              <w:ind w:right="72"/>
              <w:rPr>
                <w:b/>
                <w:sz w:val="20"/>
              </w:rPr>
            </w:pPr>
            <w:r>
              <w:rPr>
                <w:b/>
                <w:sz w:val="20"/>
              </w:rPr>
              <w:t>Sudan Shield Forces</w:t>
            </w:r>
            <w:r>
              <w:rPr>
                <w:b/>
                <w:spacing w:val="-13"/>
                <w:sz w:val="20"/>
              </w:rPr>
              <w:t xml:space="preserve"> </w:t>
            </w:r>
            <w:r>
              <w:rPr>
                <w:b/>
                <w:sz w:val="20"/>
              </w:rPr>
              <w:t>(SSF)</w:t>
            </w:r>
            <w:r>
              <w:rPr>
                <w:b/>
                <w:spacing w:val="-12"/>
                <w:sz w:val="20"/>
              </w:rPr>
              <w:t xml:space="preserve"> </w:t>
            </w:r>
            <w:r>
              <w:rPr>
                <w:b/>
                <w:sz w:val="20"/>
              </w:rPr>
              <w:t xml:space="preserve">&amp; </w:t>
            </w:r>
            <w:r>
              <w:rPr>
                <w:b/>
                <w:spacing w:val="-2"/>
                <w:sz w:val="20"/>
              </w:rPr>
              <w:t>Field Commanders</w:t>
            </w:r>
          </w:p>
        </w:tc>
        <w:tc>
          <w:tcPr>
            <w:tcW w:w="1419" w:type="dxa"/>
          </w:tcPr>
          <w:p w14:paraId="29656336">
            <w:pPr>
              <w:pStyle w:val="11"/>
              <w:rPr>
                <w:b/>
                <w:i/>
                <w:sz w:val="20"/>
              </w:rPr>
            </w:pPr>
            <w:r>
              <w:rPr>
                <w:b/>
                <w:i/>
                <w:sz w:val="20"/>
              </w:rPr>
              <w:t>United</w:t>
            </w:r>
            <w:r>
              <w:rPr>
                <w:b/>
                <w:i/>
                <w:spacing w:val="-5"/>
                <w:sz w:val="20"/>
              </w:rPr>
              <w:t xml:space="preserve"> </w:t>
            </w:r>
            <w:r>
              <w:rPr>
                <w:b/>
                <w:i/>
                <w:spacing w:val="-2"/>
                <w:sz w:val="20"/>
              </w:rPr>
              <w:t>States</w:t>
            </w:r>
          </w:p>
        </w:tc>
        <w:tc>
          <w:tcPr>
            <w:tcW w:w="1558" w:type="dxa"/>
          </w:tcPr>
          <w:p w14:paraId="5C34BC8D">
            <w:pPr>
              <w:pStyle w:val="11"/>
              <w:ind w:right="251"/>
              <w:rPr>
                <w:sz w:val="20"/>
              </w:rPr>
            </w:pPr>
            <w:r>
              <w:rPr>
                <w:spacing w:val="-2"/>
                <w:sz w:val="20"/>
              </w:rPr>
              <w:t>Pending Assessment</w:t>
            </w:r>
          </w:p>
          <w:p w14:paraId="702BE182">
            <w:pPr>
              <w:pStyle w:val="11"/>
              <w:spacing w:before="49"/>
              <w:ind w:left="0"/>
              <w:rPr>
                <w:b/>
                <w:sz w:val="20"/>
              </w:rPr>
            </w:pPr>
          </w:p>
          <w:p w14:paraId="26FA7CF6">
            <w:pPr>
              <w:pStyle w:val="11"/>
              <w:ind w:right="251"/>
              <w:rPr>
                <w:sz w:val="20"/>
              </w:rPr>
            </w:pPr>
            <w:r>
              <w:rPr>
                <w:sz w:val="20"/>
              </w:rPr>
              <w:t xml:space="preserve">(June 2026 </w:t>
            </w:r>
            <w:r>
              <w:rPr>
                <w:spacing w:val="-2"/>
                <w:sz w:val="20"/>
              </w:rPr>
              <w:t>Mechanism)</w:t>
            </w:r>
          </w:p>
        </w:tc>
        <w:tc>
          <w:tcPr>
            <w:tcW w:w="1844" w:type="dxa"/>
          </w:tcPr>
          <w:p w14:paraId="025B9D5B">
            <w:pPr>
              <w:pStyle w:val="11"/>
              <w:numPr>
                <w:ilvl w:val="0"/>
                <w:numId w:val="14"/>
              </w:numPr>
              <w:tabs>
                <w:tab w:val="left" w:pos="225"/>
              </w:tabs>
              <w:spacing w:before="0" w:after="0" w:line="240" w:lineRule="auto"/>
              <w:ind w:left="225" w:right="0" w:hanging="118"/>
              <w:jc w:val="left"/>
              <w:rPr>
                <w:sz w:val="20"/>
              </w:rPr>
            </w:pPr>
            <w:r>
              <w:rPr>
                <w:spacing w:val="-2"/>
                <w:sz w:val="20"/>
              </w:rPr>
              <w:t>Financial</w:t>
            </w:r>
          </w:p>
          <w:p w14:paraId="5EFA4306">
            <w:pPr>
              <w:pStyle w:val="11"/>
              <w:rPr>
                <w:sz w:val="20"/>
              </w:rPr>
            </w:pPr>
            <w:r>
              <w:rPr>
                <w:spacing w:val="-2"/>
                <w:sz w:val="20"/>
              </w:rPr>
              <w:t>Interdiction</w:t>
            </w:r>
          </w:p>
          <w:p w14:paraId="74D13CA1">
            <w:pPr>
              <w:pStyle w:val="11"/>
              <w:spacing w:before="49"/>
              <w:ind w:left="0"/>
              <w:rPr>
                <w:b/>
                <w:sz w:val="20"/>
              </w:rPr>
            </w:pPr>
          </w:p>
          <w:p w14:paraId="35DB00E3">
            <w:pPr>
              <w:pStyle w:val="11"/>
              <w:numPr>
                <w:ilvl w:val="0"/>
                <w:numId w:val="14"/>
              </w:numPr>
              <w:tabs>
                <w:tab w:val="left" w:pos="225"/>
              </w:tabs>
              <w:spacing w:before="0" w:after="0" w:line="240" w:lineRule="auto"/>
              <w:ind w:left="107" w:right="346" w:firstLine="0"/>
              <w:jc w:val="left"/>
              <w:rPr>
                <w:sz w:val="20"/>
              </w:rPr>
            </w:pPr>
            <w:r>
              <w:rPr>
                <w:sz w:val="20"/>
              </w:rPr>
              <w:t>Asset</w:t>
            </w:r>
            <w:r>
              <w:rPr>
                <w:spacing w:val="-13"/>
                <w:sz w:val="20"/>
              </w:rPr>
              <w:t xml:space="preserve"> </w:t>
            </w:r>
            <w:r>
              <w:rPr>
                <w:sz w:val="20"/>
              </w:rPr>
              <w:t xml:space="preserve">Shielding </w:t>
            </w:r>
            <w:r>
              <w:rPr>
                <w:spacing w:val="-2"/>
                <w:sz w:val="20"/>
              </w:rPr>
              <w:t>Blocks</w:t>
            </w:r>
          </w:p>
        </w:tc>
        <w:tc>
          <w:tcPr>
            <w:tcW w:w="2970" w:type="dxa"/>
          </w:tcPr>
          <w:p w14:paraId="372A2F08">
            <w:pPr>
              <w:pStyle w:val="11"/>
              <w:ind w:right="95"/>
              <w:jc w:val="both"/>
              <w:rPr>
                <w:sz w:val="20"/>
              </w:rPr>
            </w:pPr>
            <w:r>
              <w:rPr>
                <w:sz w:val="20"/>
              </w:rPr>
              <w:t xml:space="preserve">Active review initiated under the newly introduced bipartisan </w:t>
            </w:r>
            <w:r>
              <w:rPr>
                <w:b/>
                <w:sz w:val="20"/>
              </w:rPr>
              <w:t>PEACE in Sudan Act of 2026</w:t>
            </w:r>
            <w:r>
              <w:rPr>
                <w:sz w:val="20"/>
              </w:rPr>
              <w:t>. Mandates a State Department assessment for Specially Designated Global Terrorist (SDGT) status regarding proxy militias</w:t>
            </w:r>
            <w:r>
              <w:rPr>
                <w:spacing w:val="-9"/>
                <w:sz w:val="20"/>
              </w:rPr>
              <w:t xml:space="preserve"> </w:t>
            </w:r>
            <w:r>
              <w:rPr>
                <w:sz w:val="20"/>
              </w:rPr>
              <w:t>blocking</w:t>
            </w:r>
            <w:r>
              <w:rPr>
                <w:spacing w:val="-8"/>
                <w:sz w:val="20"/>
              </w:rPr>
              <w:t xml:space="preserve"> </w:t>
            </w:r>
            <w:r>
              <w:rPr>
                <w:sz w:val="20"/>
              </w:rPr>
              <w:t>humanitarian</w:t>
            </w:r>
            <w:r>
              <w:rPr>
                <w:spacing w:val="-7"/>
                <w:sz w:val="20"/>
              </w:rPr>
              <w:t xml:space="preserve"> </w:t>
            </w:r>
            <w:r>
              <w:rPr>
                <w:spacing w:val="-5"/>
                <w:sz w:val="20"/>
              </w:rPr>
              <w:t>aid</w:t>
            </w:r>
          </w:p>
          <w:p w14:paraId="04402A6D">
            <w:pPr>
              <w:pStyle w:val="11"/>
              <w:spacing w:line="228" w:lineRule="exact"/>
              <w:ind w:right="95"/>
              <w:jc w:val="both"/>
              <w:rPr>
                <w:sz w:val="20"/>
              </w:rPr>
            </w:pPr>
            <w:r>
              <w:rPr>
                <w:sz w:val="20"/>
              </w:rPr>
              <w:t xml:space="preserve">and targeting non-Arab </w:t>
            </w:r>
            <w:r>
              <w:rPr>
                <w:i/>
                <w:sz w:val="20"/>
              </w:rPr>
              <w:t xml:space="preserve">Kanabi </w:t>
            </w:r>
            <w:r>
              <w:rPr>
                <w:spacing w:val="-2"/>
                <w:sz w:val="20"/>
              </w:rPr>
              <w:t>populations.</w:t>
            </w:r>
          </w:p>
        </w:tc>
      </w:tr>
      <w:tr w14:paraId="08787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1702" w:type="dxa"/>
          </w:tcPr>
          <w:p w14:paraId="74489EFF">
            <w:pPr>
              <w:pStyle w:val="11"/>
              <w:tabs>
                <w:tab w:val="left" w:pos="1040"/>
                <w:tab w:val="left" w:pos="1320"/>
              </w:tabs>
              <w:ind w:right="72"/>
              <w:rPr>
                <w:b/>
                <w:sz w:val="20"/>
              </w:rPr>
            </w:pPr>
            <w:r>
              <w:rPr>
                <w:b/>
                <w:spacing w:val="-2"/>
                <w:sz w:val="20"/>
              </w:rPr>
              <w:t>Al-Baraa</w:t>
            </w:r>
            <w:r>
              <w:rPr>
                <w:b/>
                <w:sz w:val="20"/>
              </w:rPr>
              <w:tab/>
            </w:r>
            <w:r>
              <w:rPr>
                <w:b/>
                <w:sz w:val="20"/>
              </w:rPr>
              <w:tab/>
            </w:r>
            <w:r>
              <w:rPr>
                <w:b/>
                <w:spacing w:val="-4"/>
                <w:sz w:val="20"/>
              </w:rPr>
              <w:t xml:space="preserve">Ibn </w:t>
            </w:r>
            <w:r>
              <w:rPr>
                <w:b/>
                <w:sz w:val="20"/>
              </w:rPr>
              <w:t>Malik</w:t>
            </w:r>
            <w:r>
              <w:rPr>
                <w:b/>
                <w:spacing w:val="9"/>
                <w:sz w:val="20"/>
              </w:rPr>
              <w:t xml:space="preserve"> </w:t>
            </w:r>
            <w:r>
              <w:rPr>
                <w:b/>
                <w:sz w:val="20"/>
              </w:rPr>
              <w:t>Brigade</w:t>
            </w:r>
            <w:r>
              <w:rPr>
                <w:b/>
                <w:spacing w:val="8"/>
                <w:sz w:val="20"/>
              </w:rPr>
              <w:t xml:space="preserve"> </w:t>
            </w:r>
            <w:r>
              <w:rPr>
                <w:b/>
                <w:sz w:val="20"/>
              </w:rPr>
              <w:t xml:space="preserve">&amp; </w:t>
            </w:r>
            <w:r>
              <w:rPr>
                <w:b/>
                <w:spacing w:val="-2"/>
                <w:sz w:val="20"/>
              </w:rPr>
              <w:t>Associated Islamist</w:t>
            </w:r>
            <w:r>
              <w:rPr>
                <w:b/>
                <w:sz w:val="20"/>
              </w:rPr>
              <w:tab/>
            </w:r>
            <w:r>
              <w:rPr>
                <w:b/>
                <w:spacing w:val="-2"/>
                <w:sz w:val="20"/>
              </w:rPr>
              <w:t>Militia Leadership</w:t>
            </w:r>
          </w:p>
        </w:tc>
        <w:tc>
          <w:tcPr>
            <w:tcW w:w="1419" w:type="dxa"/>
          </w:tcPr>
          <w:p w14:paraId="1E42328F">
            <w:pPr>
              <w:pStyle w:val="11"/>
              <w:ind w:left="134"/>
              <w:jc w:val="both"/>
              <w:rPr>
                <w:sz w:val="20"/>
              </w:rPr>
            </w:pPr>
            <w:r>
              <w:rPr>
                <w:sz w:val="20"/>
              </w:rPr>
              <w:t>United</w:t>
            </w:r>
            <w:r>
              <w:rPr>
                <w:spacing w:val="74"/>
                <w:w w:val="150"/>
                <w:sz w:val="20"/>
              </w:rPr>
              <w:t xml:space="preserve"> </w:t>
            </w:r>
            <w:r>
              <w:rPr>
                <w:spacing w:val="-2"/>
                <w:sz w:val="20"/>
              </w:rPr>
              <w:t>States</w:t>
            </w:r>
          </w:p>
          <w:p w14:paraId="114AAFE2">
            <w:pPr>
              <w:pStyle w:val="11"/>
              <w:tabs>
                <w:tab w:val="left" w:pos="765"/>
              </w:tabs>
              <w:ind w:left="134" w:right="96"/>
              <w:jc w:val="both"/>
              <w:rPr>
                <w:sz w:val="20"/>
              </w:rPr>
            </w:pPr>
            <w:r>
              <w:rPr>
                <w:spacing w:val="-10"/>
                <w:sz w:val="20"/>
              </w:rPr>
              <w:t>/</w:t>
            </w:r>
            <w:r>
              <w:rPr>
                <w:sz w:val="20"/>
              </w:rPr>
              <w:tab/>
            </w:r>
            <w:r>
              <w:rPr>
                <w:spacing w:val="-2"/>
                <w:sz w:val="20"/>
              </w:rPr>
              <w:t xml:space="preserve">United </w:t>
            </w:r>
            <w:r>
              <w:rPr>
                <w:sz w:val="20"/>
              </w:rPr>
              <w:t xml:space="preserve">Nations 1591 </w:t>
            </w:r>
            <w:r>
              <w:rPr>
                <w:spacing w:val="-2"/>
                <w:sz w:val="20"/>
              </w:rPr>
              <w:t>Committee</w:t>
            </w:r>
          </w:p>
        </w:tc>
        <w:tc>
          <w:tcPr>
            <w:tcW w:w="1558" w:type="dxa"/>
          </w:tcPr>
          <w:p w14:paraId="21B36114">
            <w:pPr>
              <w:pStyle w:val="11"/>
              <w:tabs>
                <w:tab w:val="left" w:pos="1417"/>
                <w:tab w:val="right" w:pos="1470"/>
              </w:tabs>
              <w:ind w:right="73"/>
              <w:rPr>
                <w:sz w:val="20"/>
              </w:rPr>
            </w:pPr>
            <w:r>
              <w:rPr>
                <w:spacing w:val="-2"/>
                <w:sz w:val="20"/>
              </w:rPr>
              <w:t>Mid-2025</w:t>
            </w:r>
            <w:r>
              <w:rPr>
                <w:sz w:val="20"/>
              </w:rPr>
              <w:tab/>
            </w:r>
            <w:r>
              <w:rPr>
                <w:spacing w:val="-10"/>
                <w:sz w:val="20"/>
              </w:rPr>
              <w:t>/</w:t>
            </w:r>
            <w:r>
              <w:rPr>
                <w:spacing w:val="-2"/>
                <w:sz w:val="20"/>
              </w:rPr>
              <w:t xml:space="preserve"> Early</w:t>
            </w:r>
            <w:r>
              <w:rPr>
                <w:sz w:val="20"/>
              </w:rPr>
              <w:tab/>
            </w:r>
            <w:r>
              <w:rPr>
                <w:sz w:val="20"/>
              </w:rPr>
              <w:tab/>
            </w:r>
            <w:r>
              <w:rPr>
                <w:spacing w:val="-95"/>
                <w:sz w:val="20"/>
              </w:rPr>
              <w:t>2026</w:t>
            </w:r>
          </w:p>
          <w:p w14:paraId="5786B6A3">
            <w:pPr>
              <w:pStyle w:val="11"/>
              <w:spacing w:before="1"/>
              <w:rPr>
                <w:sz w:val="20"/>
              </w:rPr>
            </w:pPr>
            <w:r>
              <w:rPr>
                <w:spacing w:val="-2"/>
                <w:sz w:val="20"/>
              </w:rPr>
              <w:t>Updates</w:t>
            </w:r>
          </w:p>
        </w:tc>
        <w:tc>
          <w:tcPr>
            <w:tcW w:w="1844" w:type="dxa"/>
          </w:tcPr>
          <w:p w14:paraId="29CA5A6B">
            <w:pPr>
              <w:pStyle w:val="11"/>
              <w:numPr>
                <w:ilvl w:val="0"/>
                <w:numId w:val="15"/>
              </w:numPr>
              <w:tabs>
                <w:tab w:val="left" w:pos="244"/>
              </w:tabs>
              <w:spacing w:before="2" w:after="0" w:line="240" w:lineRule="auto"/>
              <w:ind w:left="244" w:right="0" w:hanging="118"/>
              <w:jc w:val="both"/>
              <w:rPr>
                <w:sz w:val="20"/>
              </w:rPr>
            </w:pPr>
            <w:r>
              <w:rPr>
                <w:sz w:val="20"/>
              </w:rPr>
              <w:t>Asset</w:t>
            </w:r>
            <w:r>
              <w:rPr>
                <w:spacing w:val="-7"/>
                <w:sz w:val="20"/>
              </w:rPr>
              <w:t xml:space="preserve"> </w:t>
            </w:r>
            <w:r>
              <w:rPr>
                <w:spacing w:val="-2"/>
                <w:sz w:val="20"/>
              </w:rPr>
              <w:t>Freeze</w:t>
            </w:r>
          </w:p>
          <w:p w14:paraId="4CCB9879">
            <w:pPr>
              <w:pStyle w:val="11"/>
              <w:spacing w:before="49"/>
              <w:ind w:left="0"/>
              <w:rPr>
                <w:b/>
                <w:sz w:val="20"/>
              </w:rPr>
            </w:pPr>
          </w:p>
          <w:p w14:paraId="02BA28FC">
            <w:pPr>
              <w:pStyle w:val="11"/>
              <w:numPr>
                <w:ilvl w:val="0"/>
                <w:numId w:val="15"/>
              </w:numPr>
              <w:tabs>
                <w:tab w:val="left" w:pos="889"/>
                <w:tab w:val="left" w:pos="1532"/>
              </w:tabs>
              <w:spacing w:before="0" w:after="0" w:line="240" w:lineRule="auto"/>
              <w:ind w:left="126" w:right="97" w:firstLine="0"/>
              <w:jc w:val="both"/>
              <w:rPr>
                <w:sz w:val="20"/>
              </w:rPr>
            </w:pPr>
            <w:r>
              <w:rPr>
                <w:spacing w:val="-2"/>
                <w:sz w:val="20"/>
              </w:rPr>
              <w:t>Secondary Sanctions</w:t>
            </w:r>
            <w:r>
              <w:rPr>
                <w:sz w:val="20"/>
              </w:rPr>
              <w:tab/>
            </w:r>
            <w:r>
              <w:rPr>
                <w:sz w:val="20"/>
              </w:rPr>
              <w:tab/>
            </w:r>
            <w:r>
              <w:rPr>
                <w:spacing w:val="-6"/>
                <w:sz w:val="20"/>
              </w:rPr>
              <w:t xml:space="preserve">on </w:t>
            </w:r>
            <w:r>
              <w:rPr>
                <w:spacing w:val="-2"/>
                <w:sz w:val="20"/>
              </w:rPr>
              <w:t>Procurement</w:t>
            </w:r>
          </w:p>
        </w:tc>
        <w:tc>
          <w:tcPr>
            <w:tcW w:w="2970" w:type="dxa"/>
          </w:tcPr>
          <w:p w14:paraId="29047EFA">
            <w:pPr>
              <w:pStyle w:val="11"/>
              <w:ind w:right="97"/>
              <w:jc w:val="both"/>
              <w:rPr>
                <w:sz w:val="20"/>
              </w:rPr>
            </w:pPr>
            <w:r>
              <w:rPr>
                <w:sz w:val="20"/>
              </w:rPr>
              <w:t>Targeted for utilizing the</w:t>
            </w:r>
            <w:r>
              <w:rPr>
                <w:spacing w:val="40"/>
                <w:sz w:val="20"/>
              </w:rPr>
              <w:t xml:space="preserve"> </w:t>
            </w:r>
            <w:r>
              <w:rPr>
                <w:sz w:val="20"/>
              </w:rPr>
              <w:t>"Popular Resistance" front to forcefully arm civilians, bypass local financial regulatory bodies, and capture agricultural scheme infrastructure</w:t>
            </w:r>
            <w:r>
              <w:rPr>
                <w:spacing w:val="8"/>
                <w:sz w:val="20"/>
              </w:rPr>
              <w:t xml:space="preserve"> </w:t>
            </w:r>
            <w:r>
              <w:rPr>
                <w:sz w:val="20"/>
              </w:rPr>
              <w:t>for</w:t>
            </w:r>
            <w:r>
              <w:rPr>
                <w:spacing w:val="9"/>
                <w:sz w:val="20"/>
              </w:rPr>
              <w:t xml:space="preserve"> </w:t>
            </w:r>
            <w:r>
              <w:rPr>
                <w:sz w:val="20"/>
              </w:rPr>
              <w:t>war-</w:t>
            </w:r>
            <w:r>
              <w:rPr>
                <w:spacing w:val="-2"/>
                <w:sz w:val="20"/>
              </w:rPr>
              <w:t>profiteering</w:t>
            </w:r>
          </w:p>
          <w:p w14:paraId="5C669731">
            <w:pPr>
              <w:pStyle w:val="11"/>
              <w:spacing w:line="210" w:lineRule="exact"/>
              <w:rPr>
                <w:sz w:val="20"/>
              </w:rPr>
            </w:pPr>
            <w:r>
              <w:rPr>
                <w:spacing w:val="-2"/>
                <w:sz w:val="20"/>
              </w:rPr>
              <w:t>cartels.</w:t>
            </w:r>
          </w:p>
        </w:tc>
      </w:tr>
      <w:tr w14:paraId="22E19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1" w:hRule="atLeast"/>
        </w:trPr>
        <w:tc>
          <w:tcPr>
            <w:tcW w:w="1702" w:type="dxa"/>
          </w:tcPr>
          <w:p w14:paraId="7FC3BC1C">
            <w:pPr>
              <w:pStyle w:val="11"/>
              <w:ind w:right="205"/>
              <w:rPr>
                <w:b/>
                <w:sz w:val="20"/>
              </w:rPr>
            </w:pPr>
            <w:r>
              <w:rPr>
                <w:b/>
                <w:sz w:val="20"/>
              </w:rPr>
              <w:t xml:space="preserve">Darfur Joint Force / Justice and Equality </w:t>
            </w:r>
            <w:r>
              <w:rPr>
                <w:b/>
                <w:spacing w:val="-2"/>
                <w:sz w:val="20"/>
              </w:rPr>
              <w:t xml:space="preserve">Movement </w:t>
            </w:r>
            <w:r>
              <w:rPr>
                <w:b/>
                <w:sz w:val="20"/>
              </w:rPr>
              <w:t>(JEM)</w:t>
            </w:r>
            <w:r>
              <w:rPr>
                <w:b/>
                <w:spacing w:val="-13"/>
                <w:sz w:val="20"/>
              </w:rPr>
              <w:t xml:space="preserve"> </w:t>
            </w:r>
            <w:r>
              <w:rPr>
                <w:b/>
                <w:sz w:val="20"/>
              </w:rPr>
              <w:t>Splinters</w:t>
            </w:r>
          </w:p>
        </w:tc>
        <w:tc>
          <w:tcPr>
            <w:tcW w:w="1419" w:type="dxa"/>
          </w:tcPr>
          <w:p w14:paraId="52093107">
            <w:pPr>
              <w:pStyle w:val="11"/>
              <w:ind w:left="134" w:right="604"/>
              <w:rPr>
                <w:sz w:val="20"/>
              </w:rPr>
            </w:pPr>
            <w:r>
              <w:rPr>
                <w:spacing w:val="-2"/>
                <w:sz w:val="20"/>
              </w:rPr>
              <w:t>United Nations Security Council</w:t>
            </w:r>
          </w:p>
        </w:tc>
        <w:tc>
          <w:tcPr>
            <w:tcW w:w="1558" w:type="dxa"/>
          </w:tcPr>
          <w:p w14:paraId="2994D076">
            <w:pPr>
              <w:pStyle w:val="11"/>
              <w:ind w:right="251"/>
              <w:rPr>
                <w:sz w:val="20"/>
              </w:rPr>
            </w:pPr>
            <w:r>
              <w:rPr>
                <w:sz w:val="20"/>
              </w:rPr>
              <w:t>June 2026 Briefing</w:t>
            </w:r>
            <w:r>
              <w:rPr>
                <w:spacing w:val="-13"/>
                <w:sz w:val="20"/>
              </w:rPr>
              <w:t xml:space="preserve"> </w:t>
            </w:r>
            <w:r>
              <w:rPr>
                <w:sz w:val="20"/>
              </w:rPr>
              <w:t>Cycle</w:t>
            </w:r>
          </w:p>
        </w:tc>
        <w:tc>
          <w:tcPr>
            <w:tcW w:w="1844" w:type="dxa"/>
          </w:tcPr>
          <w:p w14:paraId="2BE0D3D9">
            <w:pPr>
              <w:pStyle w:val="11"/>
              <w:numPr>
                <w:ilvl w:val="0"/>
                <w:numId w:val="16"/>
              </w:numPr>
              <w:tabs>
                <w:tab w:val="left" w:pos="244"/>
              </w:tabs>
              <w:spacing w:before="0" w:after="0" w:line="240" w:lineRule="auto"/>
              <w:ind w:left="126" w:right="381" w:firstLine="0"/>
              <w:jc w:val="left"/>
              <w:rPr>
                <w:sz w:val="20"/>
              </w:rPr>
            </w:pPr>
            <w:r>
              <w:rPr>
                <w:sz w:val="20"/>
              </w:rPr>
              <w:t>Targeted</w:t>
            </w:r>
            <w:r>
              <w:rPr>
                <w:spacing w:val="-13"/>
                <w:sz w:val="20"/>
              </w:rPr>
              <w:t xml:space="preserve"> </w:t>
            </w:r>
            <w:r>
              <w:rPr>
                <w:sz w:val="20"/>
              </w:rPr>
              <w:t xml:space="preserve">Asset </w:t>
            </w:r>
            <w:r>
              <w:rPr>
                <w:spacing w:val="-2"/>
                <w:sz w:val="20"/>
              </w:rPr>
              <w:t>Blocks</w:t>
            </w:r>
          </w:p>
          <w:p w14:paraId="0E918F7B">
            <w:pPr>
              <w:pStyle w:val="11"/>
              <w:numPr>
                <w:ilvl w:val="0"/>
                <w:numId w:val="16"/>
              </w:numPr>
              <w:tabs>
                <w:tab w:val="left" w:pos="244"/>
              </w:tabs>
              <w:spacing w:before="1" w:after="0" w:line="240" w:lineRule="auto"/>
              <w:ind w:left="126" w:right="357" w:firstLine="0"/>
              <w:jc w:val="left"/>
              <w:rPr>
                <w:sz w:val="20"/>
              </w:rPr>
            </w:pPr>
            <w:r>
              <w:rPr>
                <w:sz w:val="20"/>
              </w:rPr>
              <w:t>Arms</w:t>
            </w:r>
            <w:r>
              <w:rPr>
                <w:spacing w:val="-13"/>
                <w:sz w:val="20"/>
              </w:rPr>
              <w:t xml:space="preserve"> </w:t>
            </w:r>
            <w:r>
              <w:rPr>
                <w:sz w:val="20"/>
              </w:rPr>
              <w:t xml:space="preserve">Embargo </w:t>
            </w:r>
            <w:r>
              <w:rPr>
                <w:spacing w:val="-2"/>
                <w:sz w:val="20"/>
              </w:rPr>
              <w:t>Enforcement</w:t>
            </w:r>
          </w:p>
        </w:tc>
        <w:tc>
          <w:tcPr>
            <w:tcW w:w="2970" w:type="dxa"/>
          </w:tcPr>
          <w:p w14:paraId="10F2CE72">
            <w:pPr>
              <w:pStyle w:val="11"/>
              <w:ind w:right="99"/>
              <w:jc w:val="both"/>
              <w:rPr>
                <w:sz w:val="20"/>
              </w:rPr>
            </w:pPr>
            <w:r>
              <w:rPr>
                <w:sz w:val="20"/>
              </w:rPr>
              <w:t>Tracked via the UN 1591 Sudan Sanctions Committee for illicit revenue</w:t>
            </w:r>
            <w:r>
              <w:rPr>
                <w:spacing w:val="-2"/>
                <w:sz w:val="20"/>
              </w:rPr>
              <w:t xml:space="preserve"> </w:t>
            </w:r>
            <w:r>
              <w:rPr>
                <w:sz w:val="20"/>
              </w:rPr>
              <w:t>generation at</w:t>
            </w:r>
            <w:r>
              <w:rPr>
                <w:spacing w:val="-1"/>
                <w:sz w:val="20"/>
              </w:rPr>
              <w:t xml:space="preserve"> </w:t>
            </w:r>
            <w:r>
              <w:rPr>
                <w:sz w:val="20"/>
              </w:rPr>
              <w:t>commercial transit checkpoints and weaponized deployment in riverine territories far removed from</w:t>
            </w:r>
            <w:r>
              <w:rPr>
                <w:spacing w:val="59"/>
                <w:sz w:val="20"/>
              </w:rPr>
              <w:t xml:space="preserve"> </w:t>
            </w:r>
            <w:r>
              <w:rPr>
                <w:sz w:val="20"/>
              </w:rPr>
              <w:t>traditional</w:t>
            </w:r>
            <w:r>
              <w:rPr>
                <w:spacing w:val="59"/>
                <w:sz w:val="20"/>
              </w:rPr>
              <w:t xml:space="preserve"> </w:t>
            </w:r>
            <w:r>
              <w:rPr>
                <w:sz w:val="20"/>
              </w:rPr>
              <w:t>Darfuri</w:t>
            </w:r>
            <w:r>
              <w:rPr>
                <w:spacing w:val="59"/>
                <w:sz w:val="20"/>
              </w:rPr>
              <w:t xml:space="preserve"> </w:t>
            </w:r>
            <w:r>
              <w:rPr>
                <w:spacing w:val="-2"/>
                <w:sz w:val="20"/>
              </w:rPr>
              <w:t>conflict</w:t>
            </w:r>
          </w:p>
          <w:p w14:paraId="33D5CD23">
            <w:pPr>
              <w:pStyle w:val="11"/>
              <w:spacing w:before="1" w:line="210" w:lineRule="exact"/>
              <w:rPr>
                <w:sz w:val="20"/>
              </w:rPr>
            </w:pPr>
            <w:r>
              <w:rPr>
                <w:spacing w:val="-2"/>
                <w:sz w:val="20"/>
              </w:rPr>
              <w:t>lines.</w:t>
            </w:r>
          </w:p>
        </w:tc>
      </w:tr>
    </w:tbl>
    <w:p w14:paraId="7D1FC64B">
      <w:pPr>
        <w:pStyle w:val="6"/>
        <w:spacing w:before="6"/>
        <w:rPr>
          <w:b/>
        </w:rPr>
      </w:pPr>
    </w:p>
    <w:p w14:paraId="08F4FFDA">
      <w:pPr>
        <w:spacing w:before="0"/>
        <w:ind w:left="360" w:right="0" w:firstLine="0"/>
        <w:jc w:val="left"/>
        <w:rPr>
          <w:b/>
          <w:sz w:val="24"/>
        </w:rPr>
      </w:pPr>
      <w:r>
        <w:rPr>
          <w:b/>
          <w:sz w:val="24"/>
        </w:rPr>
        <w:t>Source:</w:t>
      </w:r>
      <w:r>
        <w:rPr>
          <w:b/>
          <w:spacing w:val="-4"/>
          <w:sz w:val="24"/>
        </w:rPr>
        <w:t xml:space="preserve"> </w:t>
      </w:r>
      <w:r>
        <w:rPr>
          <w:b/>
          <w:sz w:val="24"/>
        </w:rPr>
        <w:t>EU</w:t>
      </w:r>
      <w:r>
        <w:rPr>
          <w:b/>
          <w:spacing w:val="-2"/>
          <w:sz w:val="24"/>
        </w:rPr>
        <w:t xml:space="preserve"> </w:t>
      </w:r>
      <w:r>
        <w:rPr>
          <w:b/>
          <w:sz w:val="24"/>
        </w:rPr>
        <w:t>(2026),</w:t>
      </w:r>
      <w:r>
        <w:rPr>
          <w:b/>
          <w:spacing w:val="-2"/>
          <w:sz w:val="24"/>
        </w:rPr>
        <w:t xml:space="preserve"> </w:t>
      </w:r>
      <w:r>
        <w:rPr>
          <w:b/>
          <w:sz w:val="24"/>
        </w:rPr>
        <w:t>UK</w:t>
      </w:r>
      <w:r>
        <w:rPr>
          <w:b/>
          <w:spacing w:val="1"/>
          <w:sz w:val="24"/>
        </w:rPr>
        <w:t xml:space="preserve"> </w:t>
      </w:r>
      <w:r>
        <w:rPr>
          <w:b/>
          <w:sz w:val="24"/>
        </w:rPr>
        <w:t>(2025)</w:t>
      </w:r>
      <w:r>
        <w:rPr>
          <w:b/>
          <w:spacing w:val="-3"/>
          <w:sz w:val="24"/>
        </w:rPr>
        <w:t xml:space="preserve"> </w:t>
      </w:r>
      <w:r>
        <w:rPr>
          <w:b/>
          <w:sz w:val="24"/>
        </w:rPr>
        <w:t>&amp;</w:t>
      </w:r>
      <w:r>
        <w:rPr>
          <w:b/>
          <w:spacing w:val="-2"/>
          <w:sz w:val="24"/>
        </w:rPr>
        <w:t xml:space="preserve"> </w:t>
      </w:r>
      <w:r>
        <w:rPr>
          <w:b/>
          <w:sz w:val="24"/>
        </w:rPr>
        <w:t xml:space="preserve">UN </w:t>
      </w:r>
      <w:r>
        <w:rPr>
          <w:b/>
          <w:spacing w:val="-2"/>
          <w:sz w:val="24"/>
        </w:rPr>
        <w:t>(2025).</w:t>
      </w:r>
    </w:p>
    <w:p w14:paraId="0DE2047D">
      <w:pPr>
        <w:pStyle w:val="6"/>
        <w:spacing w:before="5"/>
        <w:rPr>
          <w:b/>
        </w:rPr>
      </w:pPr>
    </w:p>
    <w:p w14:paraId="6660735A">
      <w:pPr>
        <w:spacing w:before="0"/>
        <w:ind w:left="420" w:right="0" w:firstLine="0"/>
        <w:jc w:val="left"/>
        <w:rPr>
          <w:b/>
          <w:sz w:val="24"/>
        </w:rPr>
      </w:pPr>
      <w:r>
        <w:rPr>
          <w:b/>
          <w:sz w:val="24"/>
        </w:rPr>
        <w:t>Action</w:t>
      </w:r>
      <w:r>
        <w:rPr>
          <w:b/>
          <w:spacing w:val="-2"/>
          <w:sz w:val="24"/>
        </w:rPr>
        <w:t xml:space="preserve"> </w:t>
      </w:r>
      <w:r>
        <w:rPr>
          <w:b/>
          <w:sz w:val="24"/>
        </w:rPr>
        <w:t>on</w:t>
      </w:r>
      <w:r>
        <w:rPr>
          <w:b/>
          <w:spacing w:val="-1"/>
          <w:sz w:val="24"/>
        </w:rPr>
        <w:t xml:space="preserve"> </w:t>
      </w:r>
      <w:r>
        <w:rPr>
          <w:b/>
          <w:sz w:val="24"/>
        </w:rPr>
        <w:t>the</w:t>
      </w:r>
      <w:r>
        <w:rPr>
          <w:b/>
          <w:spacing w:val="-2"/>
          <w:sz w:val="24"/>
        </w:rPr>
        <w:t xml:space="preserve"> </w:t>
      </w:r>
      <w:r>
        <w:rPr>
          <w:b/>
          <w:sz w:val="24"/>
        </w:rPr>
        <w:t>impact</w:t>
      </w:r>
      <w:r>
        <w:rPr>
          <w:b/>
          <w:spacing w:val="-1"/>
          <w:sz w:val="24"/>
        </w:rPr>
        <w:t xml:space="preserve"> </w:t>
      </w:r>
      <w:r>
        <w:rPr>
          <w:b/>
          <w:sz w:val="24"/>
        </w:rPr>
        <w:t>of</w:t>
      </w:r>
      <w:r>
        <w:rPr>
          <w:b/>
          <w:spacing w:val="-3"/>
          <w:sz w:val="24"/>
        </w:rPr>
        <w:t xml:space="preserve"> </w:t>
      </w:r>
      <w:r>
        <w:rPr>
          <w:b/>
          <w:sz w:val="24"/>
        </w:rPr>
        <w:t>war</w:t>
      </w:r>
      <w:r>
        <w:rPr>
          <w:b/>
          <w:spacing w:val="-2"/>
          <w:sz w:val="24"/>
        </w:rPr>
        <w:t xml:space="preserve"> shocks.</w:t>
      </w:r>
    </w:p>
    <w:sectPr>
      <w:pgSz w:w="12240" w:h="15840"/>
      <w:pgMar w:top="1360" w:right="720" w:bottom="1240" w:left="720" w:header="72" w:footer="96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6A050">
    <w:pPr>
      <w:pStyle w:val="6"/>
      <w:spacing w:line="14" w:lineRule="auto"/>
      <w:rPr>
        <w:sz w:val="19"/>
      </w:rPr>
    </w:pPr>
    <w:r>
      <w:rPr>
        <w:sz w:val="19"/>
      </w:rPr>
      <mc:AlternateContent>
        <mc:Choice Requires="wps">
          <w:drawing>
            <wp:anchor distT="0" distB="0" distL="0" distR="0" simplePos="0" relativeHeight="251660288" behindDoc="1" locked="0" layoutInCell="1" allowOverlap="1">
              <wp:simplePos x="0" y="0"/>
              <wp:positionH relativeFrom="page">
                <wp:posOffset>3771900</wp:posOffset>
              </wp:positionH>
              <wp:positionV relativeFrom="page">
                <wp:posOffset>9255760</wp:posOffset>
              </wp:positionV>
              <wp:extent cx="197485"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197485" cy="194310"/>
                      </a:xfrm>
                      <a:prstGeom prst="rect">
                        <a:avLst/>
                      </a:prstGeom>
                    </wps:spPr>
                    <wps:txbx>
                      <w:txbxContent>
                        <w:p w14:paraId="5D11E25E">
                          <w:pPr>
                            <w:pStyle w:val="6"/>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297pt;margin-top:728.8pt;height:15.3pt;width:15.55pt;mso-position-horizontal-relative:page;mso-position-vertical-relative:page;z-index:-251656192;mso-width-relative:page;mso-height-relative:page;" filled="f" stroked="f" coordsize="21600,21600" o:gfxdata="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aKIHP2wAAAA0BAAAPAAAAAAAAAAEAIAAAACIAAABkcnMvZG93bnJldi54bWxQSwECFAAUAAAA&#10;CACHTuJAML032LIBAABzAwAADgAAAAAAAAABACAAAAAqAQAAZHJzL2Uyb0RvYy54bWxQSwUGAAAA&#10;AAYABgBZAQAATgUAAAAA&#10;">
              <v:fill on="f" focussize="0,0"/>
              <v:stroke on="f"/>
              <v:imagedata o:title=""/>
              <o:lock v:ext="edit" aspectratio="f"/>
              <v:textbox inset="0mm,0mm,0mm,0mm">
                <w:txbxContent>
                  <w:p w14:paraId="5D11E25E">
                    <w:pPr>
                      <w:pStyle w:val="6"/>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288E4">
    <w:pPr>
      <w:pStyle w:val="6"/>
      <w:spacing w:line="14" w:lineRule="auto"/>
      <w:rPr>
        <w:sz w:val="20"/>
      </w:rPr>
    </w:pPr>
    <w:r>
      <w:rPr>
        <w:sz w:val="20"/>
      </w:rPr>
      <w:drawing>
        <wp:anchor distT="0" distB="0" distL="0" distR="0" simplePos="0" relativeHeight="251659264" behindDoc="1" locked="0" layoutInCell="1" allowOverlap="1">
          <wp:simplePos x="0" y="0"/>
          <wp:positionH relativeFrom="page">
            <wp:posOffset>10795</wp:posOffset>
          </wp:positionH>
          <wp:positionV relativeFrom="page">
            <wp:posOffset>45085</wp:posOffset>
          </wp:positionV>
          <wp:extent cx="292100" cy="82804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92100" cy="82834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1">
    <w:nsid w:val="B5E306ED"/>
    <w:multiLevelType w:val="multilevel"/>
    <w:tmpl w:val="B5E306ED"/>
    <w:lvl w:ilvl="0" w:tentative="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2">
    <w:nsid w:val="BF205925"/>
    <w:multiLevelType w:val="multilevel"/>
    <w:tmpl w:val="BF205925"/>
    <w:lvl w:ilvl="0" w:tentative="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3">
    <w:nsid w:val="C8879AEF"/>
    <w:multiLevelType w:val="multilevel"/>
    <w:tmpl w:val="C8879AEF"/>
    <w:lvl w:ilvl="0" w:tentative="0">
      <w:start w:val="0"/>
      <w:numFmt w:val="bullet"/>
      <w:lvlText w:val="•"/>
      <w:lvlJc w:val="left"/>
      <w:pPr>
        <w:ind w:left="226" w:hanging="12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381" w:hanging="120"/>
      </w:pPr>
      <w:rPr>
        <w:rFonts w:hint="default"/>
        <w:lang w:val="en-US" w:eastAsia="en-US" w:bidi="ar-SA"/>
      </w:rPr>
    </w:lvl>
    <w:lvl w:ilvl="2" w:tentative="0">
      <w:start w:val="0"/>
      <w:numFmt w:val="bullet"/>
      <w:lvlText w:val="•"/>
      <w:lvlJc w:val="left"/>
      <w:pPr>
        <w:ind w:left="542" w:hanging="120"/>
      </w:pPr>
      <w:rPr>
        <w:rFonts w:hint="default"/>
        <w:lang w:val="en-US" w:eastAsia="en-US" w:bidi="ar-SA"/>
      </w:rPr>
    </w:lvl>
    <w:lvl w:ilvl="3" w:tentative="0">
      <w:start w:val="0"/>
      <w:numFmt w:val="bullet"/>
      <w:lvlText w:val="•"/>
      <w:lvlJc w:val="left"/>
      <w:pPr>
        <w:ind w:left="704" w:hanging="120"/>
      </w:pPr>
      <w:rPr>
        <w:rFonts w:hint="default"/>
        <w:lang w:val="en-US" w:eastAsia="en-US" w:bidi="ar-SA"/>
      </w:rPr>
    </w:lvl>
    <w:lvl w:ilvl="4" w:tentative="0">
      <w:start w:val="0"/>
      <w:numFmt w:val="bullet"/>
      <w:lvlText w:val="•"/>
      <w:lvlJc w:val="left"/>
      <w:pPr>
        <w:ind w:left="865" w:hanging="120"/>
      </w:pPr>
      <w:rPr>
        <w:rFonts w:hint="default"/>
        <w:lang w:val="en-US" w:eastAsia="en-US" w:bidi="ar-SA"/>
      </w:rPr>
    </w:lvl>
    <w:lvl w:ilvl="5" w:tentative="0">
      <w:start w:val="0"/>
      <w:numFmt w:val="bullet"/>
      <w:lvlText w:val="•"/>
      <w:lvlJc w:val="left"/>
      <w:pPr>
        <w:ind w:left="1027" w:hanging="120"/>
      </w:pPr>
      <w:rPr>
        <w:rFonts w:hint="default"/>
        <w:lang w:val="en-US" w:eastAsia="en-US" w:bidi="ar-SA"/>
      </w:rPr>
    </w:lvl>
    <w:lvl w:ilvl="6" w:tentative="0">
      <w:start w:val="0"/>
      <w:numFmt w:val="bullet"/>
      <w:lvlText w:val="•"/>
      <w:lvlJc w:val="left"/>
      <w:pPr>
        <w:ind w:left="1188" w:hanging="120"/>
      </w:pPr>
      <w:rPr>
        <w:rFonts w:hint="default"/>
        <w:lang w:val="en-US" w:eastAsia="en-US" w:bidi="ar-SA"/>
      </w:rPr>
    </w:lvl>
    <w:lvl w:ilvl="7" w:tentative="0">
      <w:start w:val="0"/>
      <w:numFmt w:val="bullet"/>
      <w:lvlText w:val="•"/>
      <w:lvlJc w:val="left"/>
      <w:pPr>
        <w:ind w:left="1349" w:hanging="120"/>
      </w:pPr>
      <w:rPr>
        <w:rFonts w:hint="default"/>
        <w:lang w:val="en-US" w:eastAsia="en-US" w:bidi="ar-SA"/>
      </w:rPr>
    </w:lvl>
    <w:lvl w:ilvl="8" w:tentative="0">
      <w:start w:val="0"/>
      <w:numFmt w:val="bullet"/>
      <w:lvlText w:val="•"/>
      <w:lvlJc w:val="left"/>
      <w:pPr>
        <w:ind w:left="1511" w:hanging="120"/>
      </w:pPr>
      <w:rPr>
        <w:rFonts w:hint="default"/>
        <w:lang w:val="en-US" w:eastAsia="en-US" w:bidi="ar-SA"/>
      </w:rPr>
    </w:lvl>
  </w:abstractNum>
  <w:abstractNum w:abstractNumId="4">
    <w:nsid w:val="CF092B84"/>
    <w:multiLevelType w:val="multilevel"/>
    <w:tmpl w:val="CF092B84"/>
    <w:lvl w:ilvl="0" w:tentative="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5">
    <w:nsid w:val="F4B5D9F5"/>
    <w:multiLevelType w:val="multilevel"/>
    <w:tmpl w:val="F4B5D9F5"/>
    <w:lvl w:ilvl="0" w:tentative="0">
      <w:start w:val="0"/>
      <w:numFmt w:val="bullet"/>
      <w:lvlText w:val="•"/>
      <w:lvlJc w:val="left"/>
      <w:pPr>
        <w:ind w:left="126" w:hanging="12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291" w:hanging="120"/>
      </w:pPr>
      <w:rPr>
        <w:rFonts w:hint="default"/>
        <w:lang w:val="en-US" w:eastAsia="en-US" w:bidi="ar-SA"/>
      </w:rPr>
    </w:lvl>
    <w:lvl w:ilvl="2" w:tentative="0">
      <w:start w:val="0"/>
      <w:numFmt w:val="bullet"/>
      <w:lvlText w:val="•"/>
      <w:lvlJc w:val="left"/>
      <w:pPr>
        <w:ind w:left="462" w:hanging="120"/>
      </w:pPr>
      <w:rPr>
        <w:rFonts w:hint="default"/>
        <w:lang w:val="en-US" w:eastAsia="en-US" w:bidi="ar-SA"/>
      </w:rPr>
    </w:lvl>
    <w:lvl w:ilvl="3" w:tentative="0">
      <w:start w:val="0"/>
      <w:numFmt w:val="bullet"/>
      <w:lvlText w:val="•"/>
      <w:lvlJc w:val="left"/>
      <w:pPr>
        <w:ind w:left="634" w:hanging="120"/>
      </w:pPr>
      <w:rPr>
        <w:rFonts w:hint="default"/>
        <w:lang w:val="en-US" w:eastAsia="en-US" w:bidi="ar-SA"/>
      </w:rPr>
    </w:lvl>
    <w:lvl w:ilvl="4" w:tentative="0">
      <w:start w:val="0"/>
      <w:numFmt w:val="bullet"/>
      <w:lvlText w:val="•"/>
      <w:lvlJc w:val="left"/>
      <w:pPr>
        <w:ind w:left="805" w:hanging="120"/>
      </w:pPr>
      <w:rPr>
        <w:rFonts w:hint="default"/>
        <w:lang w:val="en-US" w:eastAsia="en-US" w:bidi="ar-SA"/>
      </w:rPr>
    </w:lvl>
    <w:lvl w:ilvl="5" w:tentative="0">
      <w:start w:val="0"/>
      <w:numFmt w:val="bullet"/>
      <w:lvlText w:val="•"/>
      <w:lvlJc w:val="left"/>
      <w:pPr>
        <w:ind w:left="977" w:hanging="120"/>
      </w:pPr>
      <w:rPr>
        <w:rFonts w:hint="default"/>
        <w:lang w:val="en-US" w:eastAsia="en-US" w:bidi="ar-SA"/>
      </w:rPr>
    </w:lvl>
    <w:lvl w:ilvl="6" w:tentative="0">
      <w:start w:val="0"/>
      <w:numFmt w:val="bullet"/>
      <w:lvlText w:val="•"/>
      <w:lvlJc w:val="left"/>
      <w:pPr>
        <w:ind w:left="1148" w:hanging="120"/>
      </w:pPr>
      <w:rPr>
        <w:rFonts w:hint="default"/>
        <w:lang w:val="en-US" w:eastAsia="en-US" w:bidi="ar-SA"/>
      </w:rPr>
    </w:lvl>
    <w:lvl w:ilvl="7" w:tentative="0">
      <w:start w:val="0"/>
      <w:numFmt w:val="bullet"/>
      <w:lvlText w:val="•"/>
      <w:lvlJc w:val="left"/>
      <w:pPr>
        <w:ind w:left="1319" w:hanging="120"/>
      </w:pPr>
      <w:rPr>
        <w:rFonts w:hint="default"/>
        <w:lang w:val="en-US" w:eastAsia="en-US" w:bidi="ar-SA"/>
      </w:rPr>
    </w:lvl>
    <w:lvl w:ilvl="8" w:tentative="0">
      <w:start w:val="0"/>
      <w:numFmt w:val="bullet"/>
      <w:lvlText w:val="•"/>
      <w:lvlJc w:val="left"/>
      <w:pPr>
        <w:ind w:left="1491" w:hanging="120"/>
      </w:pPr>
      <w:rPr>
        <w:rFonts w:hint="default"/>
        <w:lang w:val="en-US" w:eastAsia="en-US" w:bidi="ar-SA"/>
      </w:rPr>
    </w:lvl>
  </w:abstractNum>
  <w:abstractNum w:abstractNumId="6">
    <w:nsid w:val="0053208E"/>
    <w:multiLevelType w:val="multilevel"/>
    <w:tmpl w:val="0053208E"/>
    <w:lvl w:ilvl="0" w:tentative="0">
      <w:start w:val="0"/>
      <w:numFmt w:val="bullet"/>
      <w:lvlText w:val=""/>
      <w:lvlJc w:val="left"/>
      <w:pPr>
        <w:ind w:left="108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7">
    <w:nsid w:val="0248C179"/>
    <w:multiLevelType w:val="multilevel"/>
    <w:tmpl w:val="0248C179"/>
    <w:lvl w:ilvl="0" w:tentative="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8">
    <w:nsid w:val="03D62ECE"/>
    <w:multiLevelType w:val="multilevel"/>
    <w:tmpl w:val="03D62ECE"/>
    <w:lvl w:ilvl="0" w:tentative="0">
      <w:start w:val="1"/>
      <w:numFmt w:val="upperRoman"/>
      <w:lvlText w:val="%1."/>
      <w:lvlJc w:val="left"/>
      <w:pPr>
        <w:ind w:left="544" w:hanging="185"/>
        <w:jc w:val="left"/>
      </w:pPr>
      <w:rPr>
        <w:rFonts w:hint="default" w:ascii="Times New Roman" w:hAnsi="Times New Roman" w:eastAsia="Times New Roman" w:cs="Times New Roman"/>
        <w:b w:val="0"/>
        <w:bCs w:val="0"/>
        <w:i/>
        <w:iCs/>
        <w:color w:val="365F91"/>
        <w:spacing w:val="0"/>
        <w:w w:val="100"/>
        <w:sz w:val="22"/>
        <w:szCs w:val="22"/>
        <w:lang w:val="en-US" w:eastAsia="en-US" w:bidi="ar-SA"/>
      </w:rPr>
    </w:lvl>
    <w:lvl w:ilvl="1" w:tentative="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2" w:tentative="0">
      <w:start w:val="0"/>
      <w:numFmt w:val="bullet"/>
      <w:lvlText w:val="•"/>
      <w:lvlJc w:val="left"/>
      <w:pPr>
        <w:ind w:left="2160" w:hanging="360"/>
      </w:pPr>
      <w:rPr>
        <w:rFonts w:hint="default"/>
        <w:lang w:val="en-US" w:eastAsia="en-US" w:bidi="ar-SA"/>
      </w:rPr>
    </w:lvl>
    <w:lvl w:ilvl="3" w:tentative="0">
      <w:start w:val="0"/>
      <w:numFmt w:val="bullet"/>
      <w:lvlText w:val="•"/>
      <w:lvlJc w:val="left"/>
      <w:pPr>
        <w:ind w:left="3240" w:hanging="360"/>
      </w:pPr>
      <w:rPr>
        <w:rFonts w:hint="default"/>
        <w:lang w:val="en-US" w:eastAsia="en-US" w:bidi="ar-SA"/>
      </w:rPr>
    </w:lvl>
    <w:lvl w:ilvl="4" w:tentative="0">
      <w:start w:val="0"/>
      <w:numFmt w:val="bullet"/>
      <w:lvlText w:val="•"/>
      <w:lvlJc w:val="left"/>
      <w:pPr>
        <w:ind w:left="4320" w:hanging="360"/>
      </w:pPr>
      <w:rPr>
        <w:rFonts w:hint="default"/>
        <w:lang w:val="en-US" w:eastAsia="en-US" w:bidi="ar-SA"/>
      </w:rPr>
    </w:lvl>
    <w:lvl w:ilvl="5" w:tentative="0">
      <w:start w:val="0"/>
      <w:numFmt w:val="bullet"/>
      <w:lvlText w:val="•"/>
      <w:lvlJc w:val="left"/>
      <w:pPr>
        <w:ind w:left="540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560" w:hanging="360"/>
      </w:pPr>
      <w:rPr>
        <w:rFonts w:hint="default"/>
        <w:lang w:val="en-US" w:eastAsia="en-US" w:bidi="ar-SA"/>
      </w:rPr>
    </w:lvl>
    <w:lvl w:ilvl="8" w:tentative="0">
      <w:start w:val="0"/>
      <w:numFmt w:val="bullet"/>
      <w:lvlText w:val="•"/>
      <w:lvlJc w:val="left"/>
      <w:pPr>
        <w:ind w:left="8640" w:hanging="360"/>
      </w:pPr>
      <w:rPr>
        <w:rFonts w:hint="default"/>
        <w:lang w:val="en-US" w:eastAsia="en-US" w:bidi="ar-SA"/>
      </w:rPr>
    </w:lvl>
  </w:abstractNum>
  <w:abstractNum w:abstractNumId="9">
    <w:nsid w:val="2470EC97"/>
    <w:multiLevelType w:val="multilevel"/>
    <w:tmpl w:val="2470EC97"/>
    <w:lvl w:ilvl="0" w:tentative="0">
      <w:start w:val="0"/>
      <w:numFmt w:val="bullet"/>
      <w:lvlText w:val="•"/>
      <w:lvlJc w:val="left"/>
      <w:pPr>
        <w:ind w:left="126" w:hanging="12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291" w:hanging="120"/>
      </w:pPr>
      <w:rPr>
        <w:rFonts w:hint="default"/>
        <w:lang w:val="en-US" w:eastAsia="en-US" w:bidi="ar-SA"/>
      </w:rPr>
    </w:lvl>
    <w:lvl w:ilvl="2" w:tentative="0">
      <w:start w:val="0"/>
      <w:numFmt w:val="bullet"/>
      <w:lvlText w:val="•"/>
      <w:lvlJc w:val="left"/>
      <w:pPr>
        <w:ind w:left="462" w:hanging="120"/>
      </w:pPr>
      <w:rPr>
        <w:rFonts w:hint="default"/>
        <w:lang w:val="en-US" w:eastAsia="en-US" w:bidi="ar-SA"/>
      </w:rPr>
    </w:lvl>
    <w:lvl w:ilvl="3" w:tentative="0">
      <w:start w:val="0"/>
      <w:numFmt w:val="bullet"/>
      <w:lvlText w:val="•"/>
      <w:lvlJc w:val="left"/>
      <w:pPr>
        <w:ind w:left="634" w:hanging="120"/>
      </w:pPr>
      <w:rPr>
        <w:rFonts w:hint="default"/>
        <w:lang w:val="en-US" w:eastAsia="en-US" w:bidi="ar-SA"/>
      </w:rPr>
    </w:lvl>
    <w:lvl w:ilvl="4" w:tentative="0">
      <w:start w:val="0"/>
      <w:numFmt w:val="bullet"/>
      <w:lvlText w:val="•"/>
      <w:lvlJc w:val="left"/>
      <w:pPr>
        <w:ind w:left="805" w:hanging="120"/>
      </w:pPr>
      <w:rPr>
        <w:rFonts w:hint="default"/>
        <w:lang w:val="en-US" w:eastAsia="en-US" w:bidi="ar-SA"/>
      </w:rPr>
    </w:lvl>
    <w:lvl w:ilvl="5" w:tentative="0">
      <w:start w:val="0"/>
      <w:numFmt w:val="bullet"/>
      <w:lvlText w:val="•"/>
      <w:lvlJc w:val="left"/>
      <w:pPr>
        <w:ind w:left="977" w:hanging="120"/>
      </w:pPr>
      <w:rPr>
        <w:rFonts w:hint="default"/>
        <w:lang w:val="en-US" w:eastAsia="en-US" w:bidi="ar-SA"/>
      </w:rPr>
    </w:lvl>
    <w:lvl w:ilvl="6" w:tentative="0">
      <w:start w:val="0"/>
      <w:numFmt w:val="bullet"/>
      <w:lvlText w:val="•"/>
      <w:lvlJc w:val="left"/>
      <w:pPr>
        <w:ind w:left="1148" w:hanging="120"/>
      </w:pPr>
      <w:rPr>
        <w:rFonts w:hint="default"/>
        <w:lang w:val="en-US" w:eastAsia="en-US" w:bidi="ar-SA"/>
      </w:rPr>
    </w:lvl>
    <w:lvl w:ilvl="7" w:tentative="0">
      <w:start w:val="0"/>
      <w:numFmt w:val="bullet"/>
      <w:lvlText w:val="•"/>
      <w:lvlJc w:val="left"/>
      <w:pPr>
        <w:ind w:left="1319" w:hanging="120"/>
      </w:pPr>
      <w:rPr>
        <w:rFonts w:hint="default"/>
        <w:lang w:val="en-US" w:eastAsia="en-US" w:bidi="ar-SA"/>
      </w:rPr>
    </w:lvl>
    <w:lvl w:ilvl="8" w:tentative="0">
      <w:start w:val="0"/>
      <w:numFmt w:val="bullet"/>
      <w:lvlText w:val="•"/>
      <w:lvlJc w:val="left"/>
      <w:pPr>
        <w:ind w:left="1491" w:hanging="120"/>
      </w:pPr>
      <w:rPr>
        <w:rFonts w:hint="default"/>
        <w:lang w:val="en-US" w:eastAsia="en-US" w:bidi="ar-SA"/>
      </w:rPr>
    </w:lvl>
  </w:abstractNum>
  <w:abstractNum w:abstractNumId="10">
    <w:nsid w:val="25B654F3"/>
    <w:multiLevelType w:val="multilevel"/>
    <w:tmpl w:val="25B654F3"/>
    <w:lvl w:ilvl="0" w:tentative="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11">
    <w:nsid w:val="2A8F537B"/>
    <w:multiLevelType w:val="multilevel"/>
    <w:tmpl w:val="2A8F537B"/>
    <w:lvl w:ilvl="0" w:tentative="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abstractNum w:abstractNumId="12">
    <w:nsid w:val="4D4DC07F"/>
    <w:multiLevelType w:val="multilevel"/>
    <w:tmpl w:val="4D4DC07F"/>
    <w:lvl w:ilvl="0" w:tentative="0">
      <w:start w:val="0"/>
      <w:numFmt w:val="bullet"/>
      <w:lvlText w:val="•"/>
      <w:lvlJc w:val="left"/>
      <w:pPr>
        <w:ind w:left="107" w:hanging="12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273" w:hanging="120"/>
      </w:pPr>
      <w:rPr>
        <w:rFonts w:hint="default"/>
        <w:lang w:val="en-US" w:eastAsia="en-US" w:bidi="ar-SA"/>
      </w:rPr>
    </w:lvl>
    <w:lvl w:ilvl="2" w:tentative="0">
      <w:start w:val="0"/>
      <w:numFmt w:val="bullet"/>
      <w:lvlText w:val="•"/>
      <w:lvlJc w:val="left"/>
      <w:pPr>
        <w:ind w:left="446" w:hanging="120"/>
      </w:pPr>
      <w:rPr>
        <w:rFonts w:hint="default"/>
        <w:lang w:val="en-US" w:eastAsia="en-US" w:bidi="ar-SA"/>
      </w:rPr>
    </w:lvl>
    <w:lvl w:ilvl="3" w:tentative="0">
      <w:start w:val="0"/>
      <w:numFmt w:val="bullet"/>
      <w:lvlText w:val="•"/>
      <w:lvlJc w:val="left"/>
      <w:pPr>
        <w:ind w:left="620" w:hanging="120"/>
      </w:pPr>
      <w:rPr>
        <w:rFonts w:hint="default"/>
        <w:lang w:val="en-US" w:eastAsia="en-US" w:bidi="ar-SA"/>
      </w:rPr>
    </w:lvl>
    <w:lvl w:ilvl="4" w:tentative="0">
      <w:start w:val="0"/>
      <w:numFmt w:val="bullet"/>
      <w:lvlText w:val="•"/>
      <w:lvlJc w:val="left"/>
      <w:pPr>
        <w:ind w:left="793" w:hanging="120"/>
      </w:pPr>
      <w:rPr>
        <w:rFonts w:hint="default"/>
        <w:lang w:val="en-US" w:eastAsia="en-US" w:bidi="ar-SA"/>
      </w:rPr>
    </w:lvl>
    <w:lvl w:ilvl="5" w:tentative="0">
      <w:start w:val="0"/>
      <w:numFmt w:val="bullet"/>
      <w:lvlText w:val="•"/>
      <w:lvlJc w:val="left"/>
      <w:pPr>
        <w:ind w:left="967" w:hanging="120"/>
      </w:pPr>
      <w:rPr>
        <w:rFonts w:hint="default"/>
        <w:lang w:val="en-US" w:eastAsia="en-US" w:bidi="ar-SA"/>
      </w:rPr>
    </w:lvl>
    <w:lvl w:ilvl="6" w:tentative="0">
      <w:start w:val="0"/>
      <w:numFmt w:val="bullet"/>
      <w:lvlText w:val="•"/>
      <w:lvlJc w:val="left"/>
      <w:pPr>
        <w:ind w:left="1140" w:hanging="120"/>
      </w:pPr>
      <w:rPr>
        <w:rFonts w:hint="default"/>
        <w:lang w:val="en-US" w:eastAsia="en-US" w:bidi="ar-SA"/>
      </w:rPr>
    </w:lvl>
    <w:lvl w:ilvl="7" w:tentative="0">
      <w:start w:val="0"/>
      <w:numFmt w:val="bullet"/>
      <w:lvlText w:val="•"/>
      <w:lvlJc w:val="left"/>
      <w:pPr>
        <w:ind w:left="1313" w:hanging="120"/>
      </w:pPr>
      <w:rPr>
        <w:rFonts w:hint="default"/>
        <w:lang w:val="en-US" w:eastAsia="en-US" w:bidi="ar-SA"/>
      </w:rPr>
    </w:lvl>
    <w:lvl w:ilvl="8" w:tentative="0">
      <w:start w:val="0"/>
      <w:numFmt w:val="bullet"/>
      <w:lvlText w:val="•"/>
      <w:lvlJc w:val="left"/>
      <w:pPr>
        <w:ind w:left="1487" w:hanging="120"/>
      </w:pPr>
      <w:rPr>
        <w:rFonts w:hint="default"/>
        <w:lang w:val="en-US" w:eastAsia="en-US" w:bidi="ar-SA"/>
      </w:rPr>
    </w:lvl>
  </w:abstractNum>
  <w:abstractNum w:abstractNumId="13">
    <w:nsid w:val="59ADCABA"/>
    <w:multiLevelType w:val="multilevel"/>
    <w:tmpl w:val="59ADCABA"/>
    <w:lvl w:ilvl="0" w:tentative="0">
      <w:start w:val="1"/>
      <w:numFmt w:val="decimal"/>
      <w:lvlText w:val="%1."/>
      <w:lvlJc w:val="left"/>
      <w:pPr>
        <w:ind w:left="600" w:hanging="240"/>
        <w:jc w:val="left"/>
      </w:pPr>
      <w:rPr>
        <w:rFonts w:hint="default"/>
        <w:spacing w:val="0"/>
        <w:w w:val="88"/>
        <w:u w:val="single" w:color="000000"/>
        <w:lang w:val="en-US" w:eastAsia="en-US" w:bidi="ar-SA"/>
      </w:rPr>
    </w:lvl>
    <w:lvl w:ilvl="1" w:tentative="0">
      <w:start w:val="1"/>
      <w:numFmt w:val="decimal"/>
      <w:lvlText w:val="%1.%2"/>
      <w:lvlJc w:val="left"/>
      <w:pPr>
        <w:ind w:left="720" w:hanging="360"/>
        <w:jc w:val="left"/>
      </w:pPr>
      <w:rPr>
        <w:rFonts w:hint="default"/>
        <w:spacing w:val="0"/>
        <w:w w:val="100"/>
        <w:lang w:val="en-US" w:eastAsia="en-US" w:bidi="ar-SA"/>
      </w:rPr>
    </w:lvl>
    <w:lvl w:ilvl="2" w:tentative="0">
      <w:start w:val="1"/>
      <w:numFmt w:val="decimal"/>
      <w:lvlText w:val="%1.%2.%3"/>
      <w:lvlJc w:val="left"/>
      <w:pPr>
        <w:ind w:left="900" w:hanging="360"/>
        <w:jc w:val="left"/>
      </w:pPr>
      <w:rPr>
        <w:rFonts w:hint="default"/>
        <w:spacing w:val="0"/>
        <w:w w:val="100"/>
        <w:lang w:val="en-US" w:eastAsia="en-US" w:bidi="ar-SA"/>
      </w:rPr>
    </w:lvl>
    <w:lvl w:ilvl="3" w:tentative="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4" w:tentative="0">
      <w:start w:val="0"/>
      <w:numFmt w:val="bullet"/>
      <w:lvlText w:val="•"/>
      <w:lvlJc w:val="left"/>
      <w:pPr>
        <w:ind w:left="2468" w:hanging="360"/>
      </w:pPr>
      <w:rPr>
        <w:rFonts w:hint="default"/>
        <w:lang w:val="en-US" w:eastAsia="en-US" w:bidi="ar-SA"/>
      </w:rPr>
    </w:lvl>
    <w:lvl w:ilvl="5" w:tentative="0">
      <w:start w:val="0"/>
      <w:numFmt w:val="bullet"/>
      <w:lvlText w:val="•"/>
      <w:lvlJc w:val="left"/>
      <w:pPr>
        <w:ind w:left="3857" w:hanging="360"/>
      </w:pPr>
      <w:rPr>
        <w:rFonts w:hint="default"/>
        <w:lang w:val="en-US" w:eastAsia="en-US" w:bidi="ar-SA"/>
      </w:rPr>
    </w:lvl>
    <w:lvl w:ilvl="6" w:tentative="0">
      <w:start w:val="0"/>
      <w:numFmt w:val="bullet"/>
      <w:lvlText w:val="•"/>
      <w:lvlJc w:val="left"/>
      <w:pPr>
        <w:ind w:left="5245" w:hanging="360"/>
      </w:pPr>
      <w:rPr>
        <w:rFonts w:hint="default"/>
        <w:lang w:val="en-US" w:eastAsia="en-US" w:bidi="ar-SA"/>
      </w:rPr>
    </w:lvl>
    <w:lvl w:ilvl="7" w:tentative="0">
      <w:start w:val="0"/>
      <w:numFmt w:val="bullet"/>
      <w:lvlText w:val="•"/>
      <w:lvlJc w:val="left"/>
      <w:pPr>
        <w:ind w:left="6634" w:hanging="360"/>
      </w:pPr>
      <w:rPr>
        <w:rFonts w:hint="default"/>
        <w:lang w:val="en-US" w:eastAsia="en-US" w:bidi="ar-SA"/>
      </w:rPr>
    </w:lvl>
    <w:lvl w:ilvl="8" w:tentative="0">
      <w:start w:val="0"/>
      <w:numFmt w:val="bullet"/>
      <w:lvlText w:val="•"/>
      <w:lvlJc w:val="left"/>
      <w:pPr>
        <w:ind w:left="8022" w:hanging="360"/>
      </w:pPr>
      <w:rPr>
        <w:rFonts w:hint="default"/>
        <w:lang w:val="en-US" w:eastAsia="en-US" w:bidi="ar-SA"/>
      </w:rPr>
    </w:lvl>
  </w:abstractNum>
  <w:abstractNum w:abstractNumId="14">
    <w:nsid w:val="5A241D34"/>
    <w:multiLevelType w:val="multilevel"/>
    <w:tmpl w:val="5A241D34"/>
    <w:lvl w:ilvl="0" w:tentative="0">
      <w:start w:val="0"/>
      <w:numFmt w:val="bullet"/>
      <w:lvlText w:val="•"/>
      <w:lvlJc w:val="left"/>
      <w:pPr>
        <w:ind w:left="226" w:hanging="12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381" w:hanging="120"/>
      </w:pPr>
      <w:rPr>
        <w:rFonts w:hint="default"/>
        <w:lang w:val="en-US" w:eastAsia="en-US" w:bidi="ar-SA"/>
      </w:rPr>
    </w:lvl>
    <w:lvl w:ilvl="2" w:tentative="0">
      <w:start w:val="0"/>
      <w:numFmt w:val="bullet"/>
      <w:lvlText w:val="•"/>
      <w:lvlJc w:val="left"/>
      <w:pPr>
        <w:ind w:left="542" w:hanging="120"/>
      </w:pPr>
      <w:rPr>
        <w:rFonts w:hint="default"/>
        <w:lang w:val="en-US" w:eastAsia="en-US" w:bidi="ar-SA"/>
      </w:rPr>
    </w:lvl>
    <w:lvl w:ilvl="3" w:tentative="0">
      <w:start w:val="0"/>
      <w:numFmt w:val="bullet"/>
      <w:lvlText w:val="•"/>
      <w:lvlJc w:val="left"/>
      <w:pPr>
        <w:ind w:left="704" w:hanging="120"/>
      </w:pPr>
      <w:rPr>
        <w:rFonts w:hint="default"/>
        <w:lang w:val="en-US" w:eastAsia="en-US" w:bidi="ar-SA"/>
      </w:rPr>
    </w:lvl>
    <w:lvl w:ilvl="4" w:tentative="0">
      <w:start w:val="0"/>
      <w:numFmt w:val="bullet"/>
      <w:lvlText w:val="•"/>
      <w:lvlJc w:val="left"/>
      <w:pPr>
        <w:ind w:left="865" w:hanging="120"/>
      </w:pPr>
      <w:rPr>
        <w:rFonts w:hint="default"/>
        <w:lang w:val="en-US" w:eastAsia="en-US" w:bidi="ar-SA"/>
      </w:rPr>
    </w:lvl>
    <w:lvl w:ilvl="5" w:tentative="0">
      <w:start w:val="0"/>
      <w:numFmt w:val="bullet"/>
      <w:lvlText w:val="•"/>
      <w:lvlJc w:val="left"/>
      <w:pPr>
        <w:ind w:left="1027" w:hanging="120"/>
      </w:pPr>
      <w:rPr>
        <w:rFonts w:hint="default"/>
        <w:lang w:val="en-US" w:eastAsia="en-US" w:bidi="ar-SA"/>
      </w:rPr>
    </w:lvl>
    <w:lvl w:ilvl="6" w:tentative="0">
      <w:start w:val="0"/>
      <w:numFmt w:val="bullet"/>
      <w:lvlText w:val="•"/>
      <w:lvlJc w:val="left"/>
      <w:pPr>
        <w:ind w:left="1188" w:hanging="120"/>
      </w:pPr>
      <w:rPr>
        <w:rFonts w:hint="default"/>
        <w:lang w:val="en-US" w:eastAsia="en-US" w:bidi="ar-SA"/>
      </w:rPr>
    </w:lvl>
    <w:lvl w:ilvl="7" w:tentative="0">
      <w:start w:val="0"/>
      <w:numFmt w:val="bullet"/>
      <w:lvlText w:val="•"/>
      <w:lvlJc w:val="left"/>
      <w:pPr>
        <w:ind w:left="1349" w:hanging="120"/>
      </w:pPr>
      <w:rPr>
        <w:rFonts w:hint="default"/>
        <w:lang w:val="en-US" w:eastAsia="en-US" w:bidi="ar-SA"/>
      </w:rPr>
    </w:lvl>
    <w:lvl w:ilvl="8" w:tentative="0">
      <w:start w:val="0"/>
      <w:numFmt w:val="bullet"/>
      <w:lvlText w:val="•"/>
      <w:lvlJc w:val="left"/>
      <w:pPr>
        <w:ind w:left="1511" w:hanging="120"/>
      </w:pPr>
      <w:rPr>
        <w:rFonts w:hint="default"/>
        <w:lang w:val="en-US" w:eastAsia="en-US" w:bidi="ar-SA"/>
      </w:rPr>
    </w:lvl>
  </w:abstractNum>
  <w:abstractNum w:abstractNumId="15">
    <w:nsid w:val="72183CF9"/>
    <w:multiLevelType w:val="multilevel"/>
    <w:tmpl w:val="72183CF9"/>
    <w:lvl w:ilvl="0" w:tentative="0">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1" w:tentative="0">
      <w:start w:val="0"/>
      <w:numFmt w:val="bullet"/>
      <w:lvlText w:val="•"/>
      <w:lvlJc w:val="left"/>
      <w:pPr>
        <w:ind w:left="2052" w:hanging="360"/>
      </w:pPr>
      <w:rPr>
        <w:rFonts w:hint="default"/>
        <w:lang w:val="en-US" w:eastAsia="en-US" w:bidi="ar-SA"/>
      </w:rPr>
    </w:lvl>
    <w:lvl w:ilvl="2" w:tentative="0">
      <w:start w:val="0"/>
      <w:numFmt w:val="bullet"/>
      <w:lvlText w:val="•"/>
      <w:lvlJc w:val="left"/>
      <w:pPr>
        <w:ind w:left="3024" w:hanging="360"/>
      </w:pPr>
      <w:rPr>
        <w:rFonts w:hint="default"/>
        <w:lang w:val="en-US" w:eastAsia="en-US" w:bidi="ar-SA"/>
      </w:rPr>
    </w:lvl>
    <w:lvl w:ilvl="3" w:tentative="0">
      <w:start w:val="0"/>
      <w:numFmt w:val="bullet"/>
      <w:lvlText w:val="•"/>
      <w:lvlJc w:val="left"/>
      <w:pPr>
        <w:ind w:left="3996" w:hanging="360"/>
      </w:pPr>
      <w:rPr>
        <w:rFonts w:hint="default"/>
        <w:lang w:val="en-US" w:eastAsia="en-US" w:bidi="ar-SA"/>
      </w:rPr>
    </w:lvl>
    <w:lvl w:ilvl="4" w:tentative="0">
      <w:start w:val="0"/>
      <w:numFmt w:val="bullet"/>
      <w:lvlText w:val="•"/>
      <w:lvlJc w:val="left"/>
      <w:pPr>
        <w:ind w:left="4968" w:hanging="360"/>
      </w:pPr>
      <w:rPr>
        <w:rFonts w:hint="default"/>
        <w:lang w:val="en-US" w:eastAsia="en-US" w:bidi="ar-SA"/>
      </w:rPr>
    </w:lvl>
    <w:lvl w:ilvl="5" w:tentative="0">
      <w:start w:val="0"/>
      <w:numFmt w:val="bullet"/>
      <w:lvlText w:val="•"/>
      <w:lvlJc w:val="left"/>
      <w:pPr>
        <w:ind w:left="5940" w:hanging="360"/>
      </w:pPr>
      <w:rPr>
        <w:rFonts w:hint="default"/>
        <w:lang w:val="en-US" w:eastAsia="en-US" w:bidi="ar-SA"/>
      </w:rPr>
    </w:lvl>
    <w:lvl w:ilvl="6" w:tentative="0">
      <w:start w:val="0"/>
      <w:numFmt w:val="bullet"/>
      <w:lvlText w:val="•"/>
      <w:lvlJc w:val="left"/>
      <w:pPr>
        <w:ind w:left="6912" w:hanging="360"/>
      </w:pPr>
      <w:rPr>
        <w:rFonts w:hint="default"/>
        <w:lang w:val="en-US" w:eastAsia="en-US" w:bidi="ar-SA"/>
      </w:rPr>
    </w:lvl>
    <w:lvl w:ilvl="7" w:tentative="0">
      <w:start w:val="0"/>
      <w:numFmt w:val="bullet"/>
      <w:lvlText w:val="•"/>
      <w:lvlJc w:val="left"/>
      <w:pPr>
        <w:ind w:left="7884" w:hanging="360"/>
      </w:pPr>
      <w:rPr>
        <w:rFonts w:hint="default"/>
        <w:lang w:val="en-US" w:eastAsia="en-US" w:bidi="ar-SA"/>
      </w:rPr>
    </w:lvl>
    <w:lvl w:ilvl="8" w:tentative="0">
      <w:start w:val="0"/>
      <w:numFmt w:val="bullet"/>
      <w:lvlText w:val="•"/>
      <w:lvlJc w:val="left"/>
      <w:pPr>
        <w:ind w:left="8856" w:hanging="360"/>
      </w:pPr>
      <w:rPr>
        <w:rFonts w:hint="default"/>
        <w:lang w:val="en-US" w:eastAsia="en-US" w:bidi="ar-SA"/>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05117E73"/>
    <w:rsid w:val="41230863"/>
    <w:rsid w:val="610F24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570" w:hanging="210"/>
      <w:jc w:val="center"/>
      <w:outlineLvl w:val="1"/>
    </w:pPr>
    <w:rPr>
      <w:rFonts w:ascii="Times New Roman" w:hAnsi="Times New Roman" w:eastAsia="Times New Roman" w:cs="Times New Roman"/>
      <w:b/>
      <w:bCs/>
      <w:sz w:val="28"/>
      <w:szCs w:val="28"/>
      <w:u w:val="single" w:color="000000"/>
      <w:lang w:val="en-US" w:eastAsia="en-US" w:bidi="ar-SA"/>
    </w:rPr>
  </w:style>
  <w:style w:type="paragraph" w:styleId="3">
    <w:name w:val="heading 2"/>
    <w:basedOn w:val="1"/>
    <w:qFormat/>
    <w:uiPriority w:val="1"/>
    <w:pPr>
      <w:ind w:left="360"/>
      <w:outlineLvl w:val="2"/>
    </w:pPr>
    <w:rPr>
      <w:rFonts w:ascii="Times New Roman" w:hAnsi="Times New Roman" w:eastAsia="Times New Roman" w:cs="Times New Roman"/>
      <w:b/>
      <w:bCs/>
      <w:sz w:val="24"/>
      <w:szCs w:val="24"/>
      <w:lang w:val="en-US" w:eastAsia="en-US" w:bidi="ar-SA"/>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4"/>
      <w:szCs w:val="24"/>
      <w:lang w:val="en-US" w:eastAsia="en-US" w:bidi="ar-SA"/>
    </w:rPr>
  </w:style>
  <w:style w:type="character" w:styleId="7">
    <w:name w:val="Hyperlink"/>
    <w:basedOn w:val="4"/>
    <w:uiPriority w:val="0"/>
    <w:rPr>
      <w:color w:val="0000FF"/>
      <w:u w:val="single"/>
    </w:rPr>
  </w:style>
  <w:style w:type="paragraph" w:styleId="8">
    <w:name w:val="Title"/>
    <w:basedOn w:val="1"/>
    <w:qFormat/>
    <w:uiPriority w:val="1"/>
    <w:pPr>
      <w:spacing w:before="1"/>
      <w:ind w:left="4517" w:right="2574" w:hanging="1419"/>
    </w:pPr>
    <w:rPr>
      <w:rFonts w:ascii="Times New Roman" w:hAnsi="Times New Roman" w:eastAsia="Times New Roman" w:cs="Times New Roman"/>
      <w:b/>
      <w:bCs/>
      <w:sz w:val="32"/>
      <w:szCs w:val="32"/>
      <w:lang w:val="en-US" w:eastAsia="en-US" w:bidi="ar-SA"/>
    </w:r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080" w:hanging="360"/>
      <w:jc w:val="both"/>
    </w:pPr>
    <w:rPr>
      <w:rFonts w:ascii="Times New Roman" w:hAnsi="Times New Roman" w:eastAsia="Times New Roman" w:cs="Times New Roman"/>
      <w:lang w:val="en-US" w:eastAsia="en-US" w:bidi="ar-SA"/>
    </w:rPr>
  </w:style>
  <w:style w:type="paragraph" w:customStyle="1" w:styleId="11">
    <w:name w:val="Table Paragraph"/>
    <w:basedOn w:val="1"/>
    <w:qFormat/>
    <w:uiPriority w:val="1"/>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6256</Words>
  <Characters>42248</Characters>
  <TotalTime>24</TotalTime>
  <ScaleCrop>false</ScaleCrop>
  <LinksUpToDate>false</LinksUpToDate>
  <CharactersWithSpaces>48219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2026-08-24T18:37:00Z</dcterms:created>
  <dc:creator>user</dc:creator>
  <cp:lastModifiedBy>Sudan Scope</cp:lastModifiedBy>
  <dcterms:modified xsi:type="dcterms:W3CDTF">2026-08-27T21:00:33Z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Microsoft® Word for Microsoft 365</vt:lpwstr>
  </property>
  <property fmtid="{D5CDD505-2E9C-101B-9397-08002B2CF9AE}" pid="5" name="LastSaved">
    <vt:filetime>2026-08-24T00:00:00Z</vt:filetime>
  </property>
  <property fmtid="{D5CDD505-2E9C-101B-9397-08002B2CF9AE}" pid="6" name="Producer">
    <vt:lpwstr>Microsoft® Word for Microsoft 365</vt:lpwstr>
  </property>
  <property fmtid="{D5CDD505-2E9C-101B-9397-08002B2CF9AE}" pid="7" name="KSOTemplateDocerSaveRecord">
    <vt:lpwstr>eyJoZGlkIjoiNDhkOTkyMzMwZjY3MmI5Y2UyMjVlYjBlZWJmMTRlZGYiLCJ1c2VySWQiOiIxNDk4MDg1MDg2MTAyNyJ9</vt:lpwstr>
  </property>
  <property fmtid="{D5CDD505-2E9C-101B-9397-08002B2CF9AE}" pid="8" name="KSOProductBuildVer">
    <vt:lpwstr>1033-12.1.0.28485</vt:lpwstr>
  </property>
  <property fmtid="{D5CDD505-2E9C-101B-9397-08002B2CF9AE}" pid="9" name="ICV">
    <vt:lpwstr>AC27B2E94FDB400DB8E085DFD7A4BE14_12</vt:lpwstr>
  </property>
</Properties>
</file>